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C14" w:rsidP="002C4BCB" w:rsidRDefault="005D6C14" w14:paraId="6ED0FD6F" w14:textId="77777777">
      <w:pPr>
        <w:jc w:val="center"/>
        <w:rPr>
          <w:b/>
        </w:rPr>
      </w:pPr>
    </w:p>
    <w:p w:rsidRPr="004F78DA" w:rsidR="007045A5" w:rsidP="0095267C" w:rsidRDefault="00FD09EE" w14:paraId="35D4BFFB" w14:textId="77777777">
      <w:pPr>
        <w:jc w:val="center"/>
        <w:rPr>
          <w:b/>
          <w:color w:val="EE0000"/>
          <w:sz w:val="28"/>
          <w:szCs w:val="28"/>
        </w:rPr>
      </w:pPr>
      <w:r w:rsidRPr="004F78DA">
        <w:rPr>
          <w:b/>
          <w:color w:val="EE0000"/>
          <w:sz w:val="28"/>
          <w:szCs w:val="28"/>
        </w:rPr>
        <w:t>P</w:t>
      </w:r>
      <w:r w:rsidRPr="004F78DA" w:rsidR="00C41E75">
        <w:rPr>
          <w:b/>
          <w:color w:val="EE0000"/>
          <w:sz w:val="28"/>
          <w:szCs w:val="28"/>
        </w:rPr>
        <w:t xml:space="preserve">AEDIATRIC </w:t>
      </w:r>
      <w:r w:rsidRPr="004F78DA" w:rsidR="007045A5">
        <w:rPr>
          <w:b/>
          <w:color w:val="EE0000"/>
          <w:sz w:val="28"/>
          <w:szCs w:val="28"/>
        </w:rPr>
        <w:t>DIABETES REFERRAL PATHWAY</w:t>
      </w:r>
    </w:p>
    <w:p w:rsidR="0095267C" w:rsidP="0095267C" w:rsidRDefault="002C4BCB" w14:paraId="39AC2D2F" w14:textId="6826DC0D">
      <w:pPr>
        <w:jc w:val="center"/>
        <w:rPr>
          <w:b/>
        </w:rPr>
      </w:pPr>
      <w:r>
        <w:rPr>
          <w:b/>
        </w:rPr>
        <w:t>Children and Young People (CYP)</w:t>
      </w:r>
      <w:r w:rsidR="00747B70">
        <w:rPr>
          <w:b/>
        </w:rPr>
        <w:t xml:space="preserve"> 0-18</w:t>
      </w:r>
      <w:r w:rsidR="0095267C">
        <w:rPr>
          <w:b/>
        </w:rPr>
        <w:t xml:space="preserve"> years</w:t>
      </w:r>
      <w:r>
        <w:rPr>
          <w:b/>
        </w:rPr>
        <w:t xml:space="preserve">                     </w:t>
      </w:r>
      <w:r w:rsidR="0095267C">
        <w:rPr>
          <w:b/>
        </w:rPr>
        <w:t xml:space="preserve">        </w:t>
      </w:r>
    </w:p>
    <w:p w:rsidR="00FD09EE" w:rsidP="00085305" w:rsidRDefault="00FD09EE" w14:paraId="6B746457" w14:textId="154E009C">
      <w:pPr>
        <w:jc w:val="center"/>
        <w:rPr>
          <w:b/>
        </w:rPr>
      </w:pPr>
      <w:r w:rsidRPr="004E4AEC">
        <w:rPr>
          <w:b/>
        </w:rPr>
        <w:t xml:space="preserve">East and North Hertfordshire </w:t>
      </w:r>
      <w:r w:rsidR="00060A51">
        <w:rPr>
          <w:b/>
        </w:rPr>
        <w:t xml:space="preserve">Teaching </w:t>
      </w:r>
      <w:r w:rsidRPr="004E4AEC">
        <w:rPr>
          <w:b/>
        </w:rPr>
        <w:t>NHS Trust</w:t>
      </w:r>
    </w:p>
    <w:p w:rsidR="00420E30" w:rsidP="00085305" w:rsidRDefault="00420E30" w14:paraId="783C2D6B" w14:textId="16A42AAB">
      <w:pPr>
        <w:jc w:val="center"/>
        <w:rPr>
          <w:b/>
        </w:rPr>
      </w:pPr>
      <w:r>
        <w:rPr>
          <w:b/>
        </w:rPr>
        <w:t xml:space="preserve"> </w:t>
      </w:r>
      <w:r w:rsidR="000B1E94">
        <w:rPr>
          <w:b/>
        </w:rPr>
        <w:t>April</w:t>
      </w:r>
      <w:r>
        <w:rPr>
          <w:b/>
        </w:rPr>
        <w:t xml:space="preserve"> 2026</w:t>
      </w:r>
    </w:p>
    <w:p w:rsidRPr="004E4AEC" w:rsidR="00085305" w:rsidP="00B10C7B" w:rsidRDefault="00085305" w14:paraId="6B3A58A3" w14:textId="77777777">
      <w:pPr>
        <w:rPr>
          <w:b/>
        </w:rPr>
      </w:pPr>
    </w:p>
    <w:p w:rsidR="00C14126" w:rsidP="00B10C7B" w:rsidRDefault="00E421B0" w14:paraId="386748F2" w14:textId="129928C9">
      <w:pPr>
        <w:spacing w:after="0"/>
        <w:rPr>
          <w:b/>
        </w:rPr>
      </w:pPr>
      <w:r>
        <w:rPr>
          <w:b/>
        </w:rPr>
        <w:t xml:space="preserve">To: </w:t>
      </w:r>
      <w:r w:rsidR="00E74DA1">
        <w:rPr>
          <w:b/>
        </w:rPr>
        <w:t>General Practitioners</w:t>
      </w:r>
      <w:r w:rsidR="00B10C7B">
        <w:rPr>
          <w:b/>
        </w:rPr>
        <w:t xml:space="preserve"> &amp; Primary Care Health Care Professionals in</w:t>
      </w:r>
      <w:r w:rsidR="00E74DA1">
        <w:rPr>
          <w:b/>
        </w:rPr>
        <w:t xml:space="preserve"> Hertfordshire</w:t>
      </w:r>
      <w:r w:rsidR="009E4164">
        <w:rPr>
          <w:b/>
        </w:rPr>
        <w:t xml:space="preserve">/South </w:t>
      </w:r>
      <w:r w:rsidR="00B10C7B">
        <w:rPr>
          <w:b/>
        </w:rPr>
        <w:t xml:space="preserve">             </w:t>
      </w:r>
      <w:r w:rsidR="009E4164">
        <w:rPr>
          <w:b/>
        </w:rPr>
        <w:t>Bedfordshire</w:t>
      </w:r>
    </w:p>
    <w:p w:rsidR="00AF12F8" w:rsidP="00E74DA1" w:rsidRDefault="00237018" w14:paraId="77FA4A1F" w14:textId="1291C014">
      <w:pPr>
        <w:spacing w:after="0"/>
        <w:rPr>
          <w:b/>
        </w:rPr>
      </w:pPr>
      <w:r>
        <w:rPr>
          <w:b/>
        </w:rPr>
        <w:t xml:space="preserve">      </w:t>
      </w:r>
      <w:r w:rsidR="004E3770">
        <w:rPr>
          <w:b/>
        </w:rPr>
        <w:tab/>
      </w:r>
      <w:r>
        <w:rPr>
          <w:b/>
        </w:rPr>
        <w:t xml:space="preserve"> </w:t>
      </w:r>
    </w:p>
    <w:p w:rsidR="009E0D24" w:rsidP="002B1A90" w:rsidRDefault="00812A74" w14:paraId="448CA9DB" w14:textId="59A7A51A">
      <w:pPr>
        <w:spacing w:after="0" w:line="240" w:lineRule="auto"/>
        <w:rPr>
          <w:b/>
        </w:rPr>
      </w:pPr>
      <w:r>
        <w:rPr>
          <w:b/>
        </w:rPr>
        <w:t xml:space="preserve">From: </w:t>
      </w:r>
      <w:r w:rsidR="002B1A90">
        <w:rPr>
          <w:b/>
        </w:rPr>
        <w:t xml:space="preserve">Children and Young People Diabetes Team, East and North Herts </w:t>
      </w:r>
      <w:r w:rsidR="00060A51">
        <w:rPr>
          <w:b/>
        </w:rPr>
        <w:t xml:space="preserve">Teaching </w:t>
      </w:r>
      <w:r w:rsidR="002B1A90">
        <w:rPr>
          <w:b/>
        </w:rPr>
        <w:t>NHS Trust</w:t>
      </w:r>
    </w:p>
    <w:p w:rsidR="00F53D00" w:rsidRDefault="00F53D00" w14:paraId="07DF580B" w14:textId="77777777"/>
    <w:p w:rsidR="00E757A2" w:rsidRDefault="00FD09EE" w14:paraId="5DFE87C7" w14:textId="2FD6B5DD">
      <w:r>
        <w:t>Dear Colleagues,</w:t>
      </w:r>
    </w:p>
    <w:p w:rsidR="003F5FF3" w:rsidP="003F5FF3" w:rsidRDefault="00E74DA1" w14:paraId="6FDF73FB" w14:textId="2F1D86F3">
      <w:pPr>
        <w:pStyle w:val="ListParagraph"/>
      </w:pPr>
      <w:r>
        <w:t xml:space="preserve">Type 1 Diabetes </w:t>
      </w:r>
      <w:r w:rsidR="006E4BAB">
        <w:t>is the most common form of diabetes in children and young people.</w:t>
      </w:r>
      <w:r w:rsidR="002B1A90">
        <w:t xml:space="preserve"> Approximately 2,000 children are diagnosed each year nationally.</w:t>
      </w:r>
    </w:p>
    <w:p w:rsidR="002B1A90" w:rsidP="003F5FF3" w:rsidRDefault="002B1A90" w14:paraId="55D03211" w14:textId="17AC4287">
      <w:pPr>
        <w:pStyle w:val="ListParagraph"/>
      </w:pPr>
      <w:r>
        <w:t>25</w:t>
      </w:r>
      <w:r w:rsidR="00A50E7C">
        <w:t xml:space="preserve">-40% </w:t>
      </w:r>
      <w:r>
        <w:t>of them are not diagnosed until they are in diabetic ketoacidosis (DKA).</w:t>
      </w:r>
    </w:p>
    <w:p w:rsidR="006E4BAB" w:rsidP="003F5FF3" w:rsidRDefault="002B1A90" w14:paraId="212EBA6B" w14:textId="2A08B97B">
      <w:pPr>
        <w:pStyle w:val="ListParagraph"/>
      </w:pPr>
      <w:r>
        <w:t xml:space="preserve">This risk is even higher </w:t>
      </w:r>
      <w:r w:rsidR="006E4BAB">
        <w:t>in the very young children, where the symptoms can be harder to identify.</w:t>
      </w:r>
    </w:p>
    <w:p w:rsidR="006E4BAB" w:rsidP="003F5FF3" w:rsidRDefault="006E4BAB" w14:paraId="1073A475" w14:textId="77777777">
      <w:pPr>
        <w:pStyle w:val="ListParagraph"/>
      </w:pPr>
    </w:p>
    <w:p w:rsidR="00420E30" w:rsidP="003F5FF3" w:rsidRDefault="006E4BAB" w14:paraId="09C77203" w14:textId="46D49FDA">
      <w:pPr>
        <w:pStyle w:val="ListParagraph"/>
      </w:pPr>
      <w:r>
        <w:t xml:space="preserve">DKA </w:t>
      </w:r>
      <w:r w:rsidR="00420E30">
        <w:t xml:space="preserve">is a </w:t>
      </w:r>
      <w:r w:rsidR="000D710C">
        <w:t>life-threatening</w:t>
      </w:r>
      <w:r w:rsidR="00420E30">
        <w:t xml:space="preserve"> emergency that we </w:t>
      </w:r>
      <w:r w:rsidR="000D710C">
        <w:t>must</w:t>
      </w:r>
      <w:r w:rsidR="00420E30">
        <w:t xml:space="preserve"> work hard to avoid. </w:t>
      </w:r>
    </w:p>
    <w:p w:rsidR="006E4BAB" w:rsidP="003F5FF3" w:rsidRDefault="00420E30" w14:paraId="19E0B592" w14:textId="39B1D92A">
      <w:pPr>
        <w:pStyle w:val="ListParagraph"/>
      </w:pPr>
      <w:r>
        <w:t xml:space="preserve">DKA </w:t>
      </w:r>
      <w:r w:rsidR="006E4BAB">
        <w:t xml:space="preserve">at diagnosis has a </w:t>
      </w:r>
      <w:r w:rsidR="000D710C">
        <w:t>long-term</w:t>
      </w:r>
      <w:r w:rsidR="006E4BAB">
        <w:t xml:space="preserve"> effect on future </w:t>
      </w:r>
      <w:r w:rsidR="002B1A90">
        <w:t xml:space="preserve">diabetes </w:t>
      </w:r>
      <w:r w:rsidR="006E4BAB">
        <w:t>control.</w:t>
      </w:r>
    </w:p>
    <w:p w:rsidR="000D710C" w:rsidP="003F5FF3" w:rsidRDefault="000D710C" w14:paraId="72DDF47F" w14:textId="77777777">
      <w:pPr>
        <w:pStyle w:val="ListParagraph"/>
      </w:pPr>
    </w:p>
    <w:p w:rsidR="00E2483F" w:rsidP="003F5FF3" w:rsidRDefault="00E2483F" w14:paraId="4C687CFD" w14:textId="60CF7879">
      <w:pPr>
        <w:pStyle w:val="ListParagraph"/>
      </w:pPr>
      <w:r>
        <w:t>According to NICE Guidance</w:t>
      </w:r>
      <w:r w:rsidR="00F56647">
        <w:t xml:space="preserve"> NG18</w:t>
      </w:r>
      <w:r w:rsidR="00860CB0">
        <w:t xml:space="preserve"> (</w:t>
      </w:r>
      <w:r w:rsidR="00DD1EBC">
        <w:t xml:space="preserve">Published 1 August 2015, </w:t>
      </w:r>
      <w:r w:rsidR="00860CB0">
        <w:t xml:space="preserve">last updated </w:t>
      </w:r>
      <w:r w:rsidR="00DD1EBC">
        <w:t xml:space="preserve">11 </w:t>
      </w:r>
      <w:r w:rsidR="00860CB0">
        <w:t>May 2023)</w:t>
      </w:r>
    </w:p>
    <w:p w:rsidRPr="00F56647" w:rsidR="006E4BAB" w:rsidP="003F5FF3" w:rsidRDefault="000B72B7" w14:paraId="5CA2738F" w14:textId="31A40747">
      <w:pPr>
        <w:pStyle w:val="ListParagraph"/>
        <w:rPr>
          <w:b/>
          <w:i/>
        </w:rPr>
      </w:pPr>
      <w:r w:rsidRPr="00420E30">
        <w:rPr>
          <w:b/>
          <w:i/>
          <w:color w:val="FF0000"/>
        </w:rPr>
        <w:t>“</w:t>
      </w:r>
      <w:r w:rsidRPr="00420E30" w:rsidR="004717D0">
        <w:rPr>
          <w:b/>
          <w:i/>
          <w:color w:val="FF0000"/>
        </w:rPr>
        <w:t xml:space="preserve">Refer children and young people with suspected type 1 diabetes immediately (on the same day) to a multidisciplinary paediatric diabetes team with the competencies needed to confirm diagnosis and provide immediate care. </w:t>
      </w:r>
      <w:r w:rsidRPr="004717D0" w:rsidR="004717D0">
        <w:rPr>
          <w:b/>
          <w:i/>
        </w:rPr>
        <w:t>[2004, amended 2015]</w:t>
      </w:r>
      <w:r w:rsidR="00E86A93">
        <w:rPr>
          <w:b/>
          <w:i/>
        </w:rPr>
        <w:t>”</w:t>
      </w:r>
    </w:p>
    <w:p w:rsidRPr="00F56647" w:rsidR="006E4BAB" w:rsidP="003F5FF3" w:rsidRDefault="006E4BAB" w14:paraId="083403AD" w14:textId="77777777">
      <w:pPr>
        <w:pStyle w:val="ListParagraph"/>
        <w:rPr>
          <w:b/>
          <w:i/>
        </w:rPr>
      </w:pPr>
    </w:p>
    <w:p w:rsidR="003F5FF3" w:rsidP="003F5FF3" w:rsidRDefault="00420E30" w14:paraId="3B728FBE" w14:textId="66054E2D">
      <w:pPr>
        <w:pStyle w:val="ListParagraph"/>
        <w:ind w:left="360"/>
        <w:rPr>
          <w:b/>
        </w:rPr>
      </w:pPr>
      <w:r>
        <w:rPr>
          <w:b/>
        </w:rPr>
        <w:t>This pathway will help</w:t>
      </w:r>
      <w:r w:rsidRPr="008B5147" w:rsidR="003F5FF3">
        <w:rPr>
          <w:b/>
        </w:rPr>
        <w:t>:</w:t>
      </w:r>
    </w:p>
    <w:p w:rsidR="006E4BAB" w:rsidP="006E4BAB" w:rsidRDefault="00420E30" w14:paraId="08B1E15F" w14:textId="3D047990">
      <w:pPr>
        <w:pStyle w:val="ListParagraph"/>
        <w:numPr>
          <w:ilvl w:val="0"/>
          <w:numId w:val="12"/>
        </w:numPr>
        <w:rPr>
          <w:b/>
        </w:rPr>
      </w:pPr>
      <w:r w:rsidRPr="00420E30">
        <w:rPr>
          <w:b/>
          <w:color w:val="FF0000"/>
        </w:rPr>
        <w:t>AVOID</w:t>
      </w:r>
      <w:r>
        <w:rPr>
          <w:b/>
          <w:color w:val="FF0000"/>
        </w:rPr>
        <w:t xml:space="preserve"> </w:t>
      </w:r>
      <w:r w:rsidRPr="00420E30">
        <w:rPr>
          <w:b/>
          <w:color w:val="FF0000"/>
        </w:rPr>
        <w:t>DELAYS</w:t>
      </w:r>
      <w:r w:rsidRPr="00420E30" w:rsidR="006E4BAB">
        <w:rPr>
          <w:b/>
          <w:color w:val="FF0000"/>
        </w:rPr>
        <w:t xml:space="preserve"> </w:t>
      </w:r>
      <w:r w:rsidR="006E4BAB">
        <w:rPr>
          <w:b/>
        </w:rPr>
        <w:t>in identifying and diagnosing Diabetes in Children and Young People.</w:t>
      </w:r>
    </w:p>
    <w:p w:rsidRPr="008B5147" w:rsidR="006E4BAB" w:rsidP="006E4BAB" w:rsidRDefault="006E4BAB" w14:paraId="4ECA5BA7" w14:textId="77777777">
      <w:pPr>
        <w:pStyle w:val="ListParagraph"/>
        <w:rPr>
          <w:b/>
        </w:rPr>
      </w:pPr>
    </w:p>
    <w:p w:rsidR="008B5147" w:rsidP="003F5FF3" w:rsidRDefault="000D710C" w14:paraId="546478CB" w14:textId="3216C37D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Ensure </w:t>
      </w:r>
      <w:r w:rsidRPr="00E94BBF" w:rsidR="003F5FF3">
        <w:rPr>
          <w:b/>
        </w:rPr>
        <w:t>CYP from Hertfordshire</w:t>
      </w:r>
      <w:r w:rsidR="009E4164">
        <w:rPr>
          <w:b/>
        </w:rPr>
        <w:t>/South Bedfordshire</w:t>
      </w:r>
      <w:r w:rsidRPr="00E94BBF" w:rsidR="003F5FF3">
        <w:rPr>
          <w:b/>
        </w:rPr>
        <w:t xml:space="preserve"> </w:t>
      </w:r>
      <w:r w:rsidR="006E4BAB">
        <w:rPr>
          <w:b/>
        </w:rPr>
        <w:t xml:space="preserve">with symptoms suggestive of Diabetes </w:t>
      </w:r>
      <w:r w:rsidRPr="000D710C" w:rsidR="006E4BAB">
        <w:rPr>
          <w:b/>
          <w:color w:val="FF0000"/>
        </w:rPr>
        <w:t xml:space="preserve">referred on the SAME DAY </w:t>
      </w:r>
      <w:r w:rsidR="006E4BAB">
        <w:rPr>
          <w:b/>
        </w:rPr>
        <w:t>to paediatric</w:t>
      </w:r>
      <w:r w:rsidR="002B1A90">
        <w:rPr>
          <w:b/>
        </w:rPr>
        <w:t>/young adult</w:t>
      </w:r>
      <w:r w:rsidR="006E4BAB">
        <w:rPr>
          <w:b/>
        </w:rPr>
        <w:t xml:space="preserve"> services at the Lister Hospital. </w:t>
      </w:r>
    </w:p>
    <w:p w:rsidRPr="000D710C" w:rsidR="000D710C" w:rsidP="000D710C" w:rsidRDefault="000D710C" w14:paraId="481BD044" w14:textId="77777777">
      <w:pPr>
        <w:pStyle w:val="ListParagraph"/>
        <w:rPr>
          <w:b/>
        </w:rPr>
      </w:pPr>
    </w:p>
    <w:p w:rsidRPr="00F1702C" w:rsidR="000D710C" w:rsidP="000D710C" w:rsidRDefault="001C15DC" w14:paraId="61A00B61" w14:textId="13E8438F">
      <w:pPr>
        <w:pStyle w:val="ListParagraph"/>
        <w:numPr>
          <w:ilvl w:val="0"/>
          <w:numId w:val="12"/>
        </w:numPr>
        <w:spacing w:before="120" w:after="0" w:line="240" w:lineRule="auto"/>
        <w:rPr>
          <w:b/>
          <w:bCs/>
        </w:rPr>
      </w:pPr>
      <w:r w:rsidRPr="00F1702C">
        <w:rPr>
          <w:b/>
          <w:bCs/>
        </w:rPr>
        <w:t xml:space="preserve">Children </w:t>
      </w:r>
      <w:r w:rsidRPr="00F1702C">
        <w:rPr>
          <w:b/>
          <w:bCs/>
          <w:color w:val="FF0000"/>
        </w:rPr>
        <w:t xml:space="preserve">&lt; </w:t>
      </w:r>
      <w:r w:rsidRPr="00F1702C" w:rsidR="000D710C">
        <w:rPr>
          <w:b/>
          <w:bCs/>
          <w:color w:val="FF0000"/>
        </w:rPr>
        <w:t xml:space="preserve">2 </w:t>
      </w:r>
      <w:r w:rsidRPr="00F1702C">
        <w:rPr>
          <w:b/>
          <w:bCs/>
          <w:color w:val="FF0000"/>
        </w:rPr>
        <w:t>years</w:t>
      </w:r>
      <w:r w:rsidRPr="00F1702C" w:rsidR="000D710C">
        <w:rPr>
          <w:b/>
          <w:bCs/>
          <w:color w:val="FF0000"/>
        </w:rPr>
        <w:t xml:space="preserve"> of age</w:t>
      </w:r>
      <w:r w:rsidRPr="00F1702C" w:rsidR="000D710C">
        <w:rPr>
          <w:b/>
          <w:bCs/>
        </w:rPr>
        <w:t xml:space="preserve">, symptoms </w:t>
      </w:r>
      <w:r w:rsidRPr="00F1702C" w:rsidR="00E12779">
        <w:rPr>
          <w:b/>
          <w:bCs/>
        </w:rPr>
        <w:t xml:space="preserve">can be </w:t>
      </w:r>
      <w:r w:rsidRPr="00F1702C">
        <w:rPr>
          <w:b/>
          <w:bCs/>
        </w:rPr>
        <w:t>more nonspecific</w:t>
      </w:r>
      <w:r w:rsidRPr="00F1702C" w:rsidR="000D710C">
        <w:rPr>
          <w:b/>
          <w:bCs/>
        </w:rPr>
        <w:t xml:space="preserve">. If in doubt perform CBG </w:t>
      </w:r>
      <w:r w:rsidRPr="00F1702C" w:rsidR="00E12779">
        <w:rPr>
          <w:b/>
          <w:bCs/>
        </w:rPr>
        <w:t>(Capillary Blood Glucose)</w:t>
      </w:r>
      <w:r w:rsidR="00A50E7C">
        <w:rPr>
          <w:b/>
          <w:bCs/>
        </w:rPr>
        <w:t xml:space="preserve"> immediately.</w:t>
      </w:r>
    </w:p>
    <w:p w:rsidRPr="00F1702C" w:rsidR="001C15DC" w:rsidP="001C15DC" w:rsidRDefault="001C15DC" w14:paraId="40C9EC85" w14:textId="77777777">
      <w:pPr>
        <w:pStyle w:val="ListParagraph"/>
        <w:rPr>
          <w:b/>
          <w:bCs/>
        </w:rPr>
      </w:pPr>
    </w:p>
    <w:p w:rsidRPr="00F1702C" w:rsidR="001C15DC" w:rsidP="000D710C" w:rsidRDefault="0087167F" w14:paraId="5E5A144E" w14:textId="3CBB23B5">
      <w:pPr>
        <w:pStyle w:val="ListParagraph"/>
        <w:numPr>
          <w:ilvl w:val="0"/>
          <w:numId w:val="12"/>
        </w:num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In CYP with </w:t>
      </w:r>
      <w:r w:rsidRPr="0087167F">
        <w:rPr>
          <w:b/>
          <w:bCs/>
          <w:color w:val="FF0000"/>
        </w:rPr>
        <w:t xml:space="preserve">Type 1 Diabetes and High BMI - </w:t>
      </w:r>
      <w:r w:rsidRPr="0087167F" w:rsidR="00E12779">
        <w:rPr>
          <w:b/>
          <w:bCs/>
          <w:color w:val="FF0000"/>
        </w:rPr>
        <w:t>Avoid confusion with Type 2 diabetes</w:t>
      </w:r>
      <w:r w:rsidRPr="00F1702C" w:rsidR="00E12779">
        <w:rPr>
          <w:b/>
          <w:bCs/>
        </w:rPr>
        <w:t xml:space="preserve"> – please see last page for specific advice!</w:t>
      </w:r>
    </w:p>
    <w:p w:rsidRPr="00F1702C" w:rsidR="000D710C" w:rsidP="000D710C" w:rsidRDefault="000D710C" w14:paraId="1F9F94CA" w14:textId="77777777">
      <w:pPr>
        <w:pStyle w:val="ListParagraph"/>
        <w:spacing w:after="0"/>
        <w:rPr>
          <w:b/>
          <w:bCs/>
          <w:sz w:val="16"/>
          <w:szCs w:val="16"/>
        </w:rPr>
      </w:pPr>
    </w:p>
    <w:p w:rsidR="005F3E2B" w:rsidP="005F3E2B" w:rsidRDefault="005F3E2B" w14:paraId="24AE7EFF" w14:textId="77777777">
      <w:pPr>
        <w:pStyle w:val="ListParagraph"/>
        <w:rPr>
          <w:b/>
        </w:rPr>
      </w:pPr>
    </w:p>
    <w:p w:rsidR="005F3E2B" w:rsidP="00B10C7B" w:rsidRDefault="005F3E2B" w14:paraId="1328F0E7" w14:textId="77777777">
      <w:pPr>
        <w:rPr>
          <w:b/>
        </w:rPr>
      </w:pPr>
    </w:p>
    <w:p w:rsidRPr="00B10C7B" w:rsidR="00B10C7B" w:rsidP="00B10C7B" w:rsidRDefault="00B10C7B" w14:paraId="0CF06DB7" w14:textId="77777777">
      <w:pPr>
        <w:rPr>
          <w:b/>
        </w:rPr>
      </w:pPr>
    </w:p>
    <w:p w:rsidR="006E4BAB" w:rsidP="00050CBC" w:rsidRDefault="002455CA" w14:paraId="45B5966E" w14:textId="05F6D3AE">
      <w:pPr>
        <w:spacing w:after="0"/>
        <w:jc w:val="center"/>
        <w:rPr>
          <w:sz w:val="36"/>
          <w:szCs w:val="36"/>
        </w:rPr>
      </w:pPr>
      <w:r w:rsidRPr="00486C29">
        <w:rPr>
          <w:sz w:val="36"/>
          <w:szCs w:val="36"/>
        </w:rPr>
        <w:t>FLOWCHART REFERRING CYP WITH SUSPECTED DIABETES TO SECONDARY CARE</w:t>
      </w:r>
    </w:p>
    <w:p w:rsidRPr="00486C29" w:rsidR="000A4CF7" w:rsidP="00050CBC" w:rsidRDefault="000A4CF7" w14:paraId="1EEF22C3" w14:textId="77777777">
      <w:pPr>
        <w:spacing w:after="0"/>
        <w:jc w:val="center"/>
        <w:rPr>
          <w:sz w:val="36"/>
          <w:szCs w:val="36"/>
        </w:rPr>
      </w:pPr>
    </w:p>
    <w:p w:rsidRPr="00C803BB" w:rsidR="002455CA" w:rsidP="00851D8C" w:rsidRDefault="00C803BB" w14:paraId="3774ADF7" w14:textId="6C9A165E">
      <w:pPr>
        <w:spacing w:after="12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Avoid any delay in identifying and diagnosing Diabetes in Children &amp; Young People</w:t>
      </w:r>
      <w:r w:rsidR="00050CBC">
        <w:rPr>
          <w:sz w:val="24"/>
          <w:szCs w:val="24"/>
        </w:rPr>
        <w:t xml:space="preserve"> (CYP)</w:t>
      </w:r>
      <w:r>
        <w:rPr>
          <w:sz w:val="24"/>
          <w:szCs w:val="24"/>
        </w:rPr>
        <w:t>.</w:t>
      </w:r>
    </w:p>
    <w:tbl>
      <w:tblPr>
        <w:tblStyle w:val="TableGrid"/>
        <w:tblW w:w="5000" w:type="pct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tblLook w:val="04A0" w:firstRow="1" w:lastRow="0" w:firstColumn="1" w:lastColumn="0" w:noHBand="0" w:noVBand="1"/>
      </w:tblPr>
      <w:tblGrid>
        <w:gridCol w:w="4483"/>
        <w:gridCol w:w="4483"/>
      </w:tblGrid>
      <w:tr w:rsidRPr="00050CBC" w:rsidR="002455CA" w:rsidTr="00373625" w14:paraId="692278D0" w14:textId="77777777">
        <w:trPr>
          <w:trHeight w:val="843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:rsidRPr="00050CBC" w:rsidR="002455CA" w:rsidP="00B80A81" w:rsidRDefault="002455CA" w14:paraId="58949E9B" w14:textId="315B407F">
            <w:pPr>
              <w:jc w:val="center"/>
              <w:rPr>
                <w:sz w:val="32"/>
                <w:szCs w:val="32"/>
              </w:rPr>
            </w:pPr>
            <w:r w:rsidRPr="00050CBC">
              <w:rPr>
                <w:sz w:val="32"/>
                <w:szCs w:val="32"/>
              </w:rPr>
              <w:t>WHAT TO LOOK FOR:</w:t>
            </w:r>
          </w:p>
          <w:p w:rsidRPr="00050CBC" w:rsidR="002455CA" w:rsidP="00B80A81" w:rsidRDefault="002455CA" w14:paraId="4655EAEE" w14:textId="28E47AB6">
            <w:pPr>
              <w:jc w:val="center"/>
              <w:rPr>
                <w:sz w:val="32"/>
                <w:szCs w:val="32"/>
              </w:rPr>
            </w:pPr>
            <w:r w:rsidRPr="00F1702C">
              <w:rPr>
                <w:color w:val="FF0000"/>
                <w:sz w:val="32"/>
                <w:szCs w:val="32"/>
              </w:rPr>
              <w:t>Think 4T’s</w:t>
            </w:r>
          </w:p>
        </w:tc>
      </w:tr>
      <w:tr w:rsidR="002455CA" w:rsidTr="00050CBC" w14:paraId="2AAEF83F" w14:textId="77777777">
        <w:trPr>
          <w:trHeight w:val="850"/>
        </w:trPr>
        <w:tc>
          <w:tcPr>
            <w:tcW w:w="2500" w:type="pct"/>
            <w:shd w:val="clear" w:color="auto" w:fill="B8CCE4" w:themeFill="accent1" w:themeFillTint="66"/>
            <w:vAlign w:val="center"/>
          </w:tcPr>
          <w:p w:rsidRPr="002455CA" w:rsidR="002455CA" w:rsidP="0083113B" w:rsidRDefault="002455CA" w14:paraId="7C940A8B" w14:textId="6DD043A5">
            <w:pPr>
              <w:jc w:val="center"/>
              <w:rPr>
                <w:sz w:val="28"/>
                <w:szCs w:val="28"/>
              </w:rPr>
            </w:pPr>
            <w:r w:rsidRPr="002455CA">
              <w:rPr>
                <w:sz w:val="28"/>
                <w:szCs w:val="28"/>
              </w:rPr>
              <w:t>POLYURIA</w:t>
            </w:r>
          </w:p>
          <w:p w:rsidR="002455CA" w:rsidP="0083113B" w:rsidRDefault="002455CA" w14:paraId="4938E3D8" w14:textId="4E4C9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1702C">
              <w:rPr>
                <w:b/>
                <w:color w:val="FF0000"/>
                <w:sz w:val="36"/>
                <w:szCs w:val="36"/>
              </w:rPr>
              <w:t>T</w:t>
            </w:r>
            <w:r>
              <w:rPr>
                <w:sz w:val="24"/>
                <w:szCs w:val="24"/>
              </w:rPr>
              <w:t>OILET)</w:t>
            </w:r>
          </w:p>
        </w:tc>
        <w:tc>
          <w:tcPr>
            <w:tcW w:w="2500" w:type="pct"/>
            <w:shd w:val="clear" w:color="auto" w:fill="B8CCE4" w:themeFill="accent1" w:themeFillTint="66"/>
            <w:vAlign w:val="center"/>
          </w:tcPr>
          <w:p w:rsidRPr="002455CA" w:rsidR="002455CA" w:rsidP="0083113B" w:rsidRDefault="002455CA" w14:paraId="04A2C024" w14:textId="1B61BC77">
            <w:pPr>
              <w:jc w:val="center"/>
              <w:rPr>
                <w:sz w:val="28"/>
                <w:szCs w:val="28"/>
              </w:rPr>
            </w:pPr>
            <w:r w:rsidRPr="002455CA">
              <w:rPr>
                <w:sz w:val="28"/>
                <w:szCs w:val="28"/>
              </w:rPr>
              <w:t>POLYDIPSIA</w:t>
            </w:r>
          </w:p>
          <w:p w:rsidR="002455CA" w:rsidP="0083113B" w:rsidRDefault="002455CA" w14:paraId="2AE83E68" w14:textId="6AAB0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1702C">
              <w:rPr>
                <w:b/>
                <w:color w:val="FF0000"/>
                <w:sz w:val="36"/>
                <w:szCs w:val="36"/>
              </w:rPr>
              <w:t>T</w:t>
            </w:r>
            <w:r>
              <w:rPr>
                <w:sz w:val="24"/>
                <w:szCs w:val="24"/>
              </w:rPr>
              <w:t>HIRST)</w:t>
            </w:r>
          </w:p>
        </w:tc>
      </w:tr>
      <w:tr w:rsidR="002455CA" w:rsidTr="00050CBC" w14:paraId="3B7B1A6B" w14:textId="77777777">
        <w:trPr>
          <w:trHeight w:val="850"/>
        </w:trPr>
        <w:tc>
          <w:tcPr>
            <w:tcW w:w="2500" w:type="pct"/>
            <w:shd w:val="clear" w:color="auto" w:fill="B8CCE4" w:themeFill="accent1" w:themeFillTint="66"/>
            <w:vAlign w:val="center"/>
          </w:tcPr>
          <w:p w:rsidRPr="002455CA" w:rsidR="002455CA" w:rsidP="0083113B" w:rsidRDefault="002455CA" w14:paraId="5C713FC6" w14:textId="4A520A3E">
            <w:pPr>
              <w:jc w:val="center"/>
              <w:rPr>
                <w:sz w:val="28"/>
                <w:szCs w:val="28"/>
              </w:rPr>
            </w:pPr>
            <w:r w:rsidRPr="002455CA">
              <w:rPr>
                <w:sz w:val="28"/>
                <w:szCs w:val="28"/>
              </w:rPr>
              <w:t>WEIGHT LOSS</w:t>
            </w:r>
          </w:p>
          <w:p w:rsidR="00B80A81" w:rsidP="0083113B" w:rsidRDefault="002455CA" w14:paraId="17F37AF0" w14:textId="6B357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1702C">
              <w:rPr>
                <w:b/>
                <w:color w:val="FF0000"/>
                <w:sz w:val="36"/>
                <w:szCs w:val="36"/>
              </w:rPr>
              <w:t>T</w:t>
            </w:r>
            <w:r>
              <w:rPr>
                <w:sz w:val="24"/>
                <w:szCs w:val="24"/>
              </w:rPr>
              <w:t>HIN)</w:t>
            </w:r>
          </w:p>
        </w:tc>
        <w:tc>
          <w:tcPr>
            <w:tcW w:w="2500" w:type="pct"/>
            <w:shd w:val="clear" w:color="auto" w:fill="B8CCE4" w:themeFill="accent1" w:themeFillTint="66"/>
            <w:vAlign w:val="center"/>
          </w:tcPr>
          <w:p w:rsidRPr="002455CA" w:rsidR="002455CA" w:rsidP="0083113B" w:rsidRDefault="002455CA" w14:paraId="233A56AC" w14:textId="2910F6E9">
            <w:pPr>
              <w:jc w:val="center"/>
              <w:rPr>
                <w:sz w:val="28"/>
                <w:szCs w:val="28"/>
              </w:rPr>
            </w:pPr>
            <w:r w:rsidRPr="002455CA">
              <w:rPr>
                <w:sz w:val="28"/>
                <w:szCs w:val="28"/>
              </w:rPr>
              <w:t>EXCESSIVE TIREDNESS</w:t>
            </w:r>
          </w:p>
          <w:p w:rsidRPr="002455CA" w:rsidR="002455CA" w:rsidP="0083113B" w:rsidRDefault="002455CA" w14:paraId="6869BCC1" w14:textId="73CCF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1702C">
              <w:rPr>
                <w:b/>
                <w:color w:val="FF0000"/>
                <w:sz w:val="36"/>
                <w:szCs w:val="36"/>
              </w:rPr>
              <w:t>T</w:t>
            </w:r>
            <w:r>
              <w:rPr>
                <w:sz w:val="24"/>
                <w:szCs w:val="24"/>
              </w:rPr>
              <w:t>IRED)</w:t>
            </w:r>
          </w:p>
        </w:tc>
      </w:tr>
    </w:tbl>
    <w:p w:rsidR="002455CA" w:rsidP="00F53D00" w:rsidRDefault="00942C4E" w14:paraId="1CDB33FC" w14:textId="622CE471">
      <w:pPr>
        <w:spacing w:after="0" w:line="240" w:lineRule="auto"/>
        <w:ind w:left="357"/>
        <w:rPr>
          <w:sz w:val="28"/>
          <w:szCs w:val="28"/>
        </w:rPr>
      </w:pPr>
      <w:r>
        <w:rPr>
          <w:rFonts w:cstheme="minorHAnsi"/>
          <w:sz w:val="36"/>
          <w:szCs w:val="36"/>
        </w:rPr>
        <w:t xml:space="preserve">                                                 </w:t>
      </w:r>
      <w:r w:rsidRPr="00DA4AF3">
        <w:rPr>
          <w:rFonts w:cstheme="minorHAnsi"/>
          <w:sz w:val="36"/>
          <w:szCs w:val="36"/>
        </w:rPr>
        <w:t>↓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329"/>
        <w:gridCol w:w="2184"/>
        <w:gridCol w:w="2184"/>
        <w:gridCol w:w="2329"/>
      </w:tblGrid>
      <w:tr w:rsidR="00B80A81" w:rsidTr="00050CBC" w14:paraId="2C598A1F" w14:textId="77777777">
        <w:trPr>
          <w:trHeight w:val="1077"/>
          <w:jc w:val="center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</w:tcPr>
          <w:p w:rsidR="00B80A81" w:rsidP="003F17D6" w:rsidRDefault="00B80A81" w14:paraId="13AEE1D8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Pr="000D710C" w:rsidR="00B80A81" w:rsidP="00050CBC" w:rsidRDefault="00B80A81" w14:paraId="656A5193" w14:textId="59CE41A8">
            <w:pPr>
              <w:spacing w:before="60" w:after="60"/>
              <w:jc w:val="center"/>
              <w:rPr>
                <w:color w:val="FF0000"/>
                <w:sz w:val="24"/>
                <w:szCs w:val="24"/>
              </w:rPr>
            </w:pPr>
            <w:r w:rsidRPr="000D710C">
              <w:rPr>
                <w:color w:val="FF0000"/>
                <w:sz w:val="24"/>
                <w:szCs w:val="24"/>
              </w:rPr>
              <w:t xml:space="preserve">Perform </w:t>
            </w:r>
            <w:r w:rsidRPr="000D710C" w:rsidR="008E1E21">
              <w:rPr>
                <w:color w:val="FF0000"/>
                <w:sz w:val="24"/>
                <w:szCs w:val="24"/>
              </w:rPr>
              <w:t>capillary BLOOD</w:t>
            </w:r>
            <w:r w:rsidRPr="000D710C">
              <w:rPr>
                <w:color w:val="FF0000"/>
                <w:sz w:val="24"/>
                <w:szCs w:val="24"/>
              </w:rPr>
              <w:t xml:space="preserve"> glucose (CBG) IMMEDIATELY</w:t>
            </w:r>
          </w:p>
          <w:p w:rsidRPr="00F53D00" w:rsidR="00B80A81" w:rsidP="00050CBC" w:rsidRDefault="00B80A81" w14:paraId="371AD910" w14:textId="43473BAC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 w:rsidRPr="000D710C">
              <w:rPr>
                <w:i/>
                <w:sz w:val="24"/>
                <w:szCs w:val="24"/>
              </w:rPr>
              <w:t>(</w:t>
            </w:r>
            <w:r w:rsidRPr="000D710C">
              <w:rPr>
                <w:b/>
                <w:i/>
                <w:sz w:val="24"/>
                <w:szCs w:val="24"/>
              </w:rPr>
              <w:t>NOT</w:t>
            </w:r>
            <w:r w:rsidRPr="000D710C">
              <w:rPr>
                <w:i/>
                <w:sz w:val="24"/>
                <w:szCs w:val="24"/>
              </w:rPr>
              <w:t xml:space="preserve"> to test </w:t>
            </w:r>
            <w:r w:rsidRPr="000D710C">
              <w:rPr>
                <w:b/>
                <w:i/>
                <w:sz w:val="24"/>
                <w:szCs w:val="24"/>
              </w:rPr>
              <w:t>URINE</w:t>
            </w:r>
            <w:r w:rsidRPr="000D710C" w:rsidR="000D710C">
              <w:rPr>
                <w:b/>
                <w:i/>
                <w:sz w:val="24"/>
                <w:szCs w:val="24"/>
              </w:rPr>
              <w:t xml:space="preserve"> or fasting Plasma Glucose</w:t>
            </w:r>
            <w:r w:rsidRPr="000D710C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</w:tcPr>
          <w:p w:rsidR="00B80A81" w:rsidP="003F17D6" w:rsidRDefault="00B80A81" w14:paraId="1C05FA21" w14:textId="77777777">
            <w:pPr>
              <w:jc w:val="center"/>
              <w:rPr>
                <w:sz w:val="28"/>
                <w:szCs w:val="28"/>
              </w:rPr>
            </w:pPr>
          </w:p>
        </w:tc>
      </w:tr>
      <w:tr w:rsidR="00B80A81" w:rsidTr="00373625" w14:paraId="194149BC" w14:textId="77777777">
        <w:trPr>
          <w:jc w:val="center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</w:tcPr>
          <w:p w:rsidR="00B80A81" w:rsidP="003F17D6" w:rsidRDefault="00B80A81" w14:paraId="0214A1B4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A81" w:rsidP="003F17D6" w:rsidRDefault="00942C4E" w14:paraId="6C8C3315" w14:textId="6F44BC49">
            <w:pPr>
              <w:jc w:val="center"/>
              <w:rPr>
                <w:sz w:val="28"/>
                <w:szCs w:val="28"/>
              </w:rPr>
            </w:pPr>
            <w:r w:rsidRPr="00DA4AF3">
              <w:rPr>
                <w:rFonts w:cstheme="minorHAnsi"/>
                <w:sz w:val="36"/>
                <w:szCs w:val="36"/>
              </w:rPr>
              <w:t>↓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</w:tcPr>
          <w:p w:rsidR="00B80A81" w:rsidP="003F17D6" w:rsidRDefault="00B80A81" w14:paraId="59908B6A" w14:textId="77777777">
            <w:pPr>
              <w:jc w:val="center"/>
              <w:rPr>
                <w:sz w:val="28"/>
                <w:szCs w:val="28"/>
              </w:rPr>
            </w:pPr>
          </w:p>
        </w:tc>
      </w:tr>
      <w:tr w:rsidR="00B80A81" w:rsidTr="00050CBC" w14:paraId="65BAF813" w14:textId="77777777">
        <w:trPr>
          <w:trHeight w:val="1020"/>
          <w:jc w:val="center"/>
        </w:trPr>
        <w:tc>
          <w:tcPr>
            <w:tcW w:w="1290" w:type="pct"/>
            <w:tcBorders>
              <w:top w:val="nil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</w:tcPr>
          <w:p w:rsidR="00B80A81" w:rsidP="00F53D00" w:rsidRDefault="00B80A81" w14:paraId="78B67E2C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0" w:type="pct"/>
            <w:gridSpan w:val="2"/>
            <w:tcBorders>
              <w:top w:val="nil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  <w:shd w:val="clear" w:color="auto" w:fill="D6E3BC" w:themeFill="accent3" w:themeFillTint="66"/>
            <w:vAlign w:val="center"/>
          </w:tcPr>
          <w:p w:rsidRPr="00851D8C" w:rsidR="00851D8C" w:rsidP="00F53D00" w:rsidRDefault="00F53D00" w14:paraId="634FDD3E" w14:textId="04CFAC33">
            <w:pPr>
              <w:pStyle w:val="ColorfulList-Accent11"/>
              <w:ind w:left="0" w:right="-8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851D8C" w:rsidR="00851D8C">
              <w:rPr>
                <w:sz w:val="28"/>
                <w:szCs w:val="28"/>
              </w:rPr>
              <w:t xml:space="preserve">If </w:t>
            </w:r>
            <w:r w:rsidR="00851D8C">
              <w:rPr>
                <w:sz w:val="28"/>
                <w:szCs w:val="28"/>
              </w:rPr>
              <w:t xml:space="preserve">random </w:t>
            </w:r>
            <w:r w:rsidRPr="00851D8C" w:rsidR="00851D8C">
              <w:rPr>
                <w:sz w:val="28"/>
                <w:szCs w:val="28"/>
              </w:rPr>
              <w:t xml:space="preserve">CBG </w:t>
            </w:r>
            <w:r w:rsidRPr="00851D8C" w:rsidR="00851D8C">
              <w:rPr>
                <w:rFonts w:cs="Calibri"/>
                <w:sz w:val="28"/>
                <w:szCs w:val="28"/>
              </w:rPr>
              <w:t>≥</w:t>
            </w:r>
            <w:r w:rsidRPr="00851D8C" w:rsidR="00851D8C">
              <w:rPr>
                <w:sz w:val="28"/>
                <w:szCs w:val="28"/>
              </w:rPr>
              <w:t xml:space="preserve"> 11.1mmol/L</w:t>
            </w:r>
          </w:p>
          <w:p w:rsidR="00851D8C" w:rsidP="00F53D00" w:rsidRDefault="00F53D00" w14:paraId="0FF947D6" w14:textId="2E0DC731">
            <w:pPr>
              <w:pStyle w:val="ColorfulList-Accent1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851D8C">
              <w:rPr>
                <w:sz w:val="24"/>
                <w:szCs w:val="24"/>
              </w:rPr>
              <w:t>OR</w:t>
            </w:r>
          </w:p>
          <w:p w:rsidR="00B80A81" w:rsidP="00F53D00" w:rsidRDefault="0083113B" w14:paraId="0C1345C3" w14:textId="45DE8636">
            <w:pPr>
              <w:pStyle w:val="ColorfulList-Accent11"/>
              <w:tabs>
                <w:tab w:val="left" w:pos="180"/>
              </w:tabs>
              <w:ind w:left="0"/>
              <w:jc w:val="center"/>
              <w:rPr>
                <w:sz w:val="28"/>
                <w:szCs w:val="28"/>
              </w:rPr>
            </w:pPr>
            <w:r w:rsidRPr="0083113B">
              <w:rPr>
                <w:sz w:val="28"/>
                <w:szCs w:val="28"/>
              </w:rPr>
              <w:t xml:space="preserve">Fasting CBG </w:t>
            </w:r>
            <w:r w:rsidRPr="0083113B">
              <w:rPr>
                <w:rFonts w:cs="Calibri"/>
                <w:sz w:val="28"/>
                <w:szCs w:val="28"/>
              </w:rPr>
              <w:t xml:space="preserve">≥ </w:t>
            </w:r>
            <w:r w:rsidRPr="0083113B" w:rsidR="00851D8C">
              <w:rPr>
                <w:sz w:val="28"/>
                <w:szCs w:val="28"/>
              </w:rPr>
              <w:t>7.0mmol/</w:t>
            </w:r>
          </w:p>
        </w:tc>
        <w:tc>
          <w:tcPr>
            <w:tcW w:w="1290" w:type="pct"/>
            <w:tcBorders>
              <w:top w:val="nil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</w:tcPr>
          <w:p w:rsidR="00B80A81" w:rsidP="00F53D00" w:rsidRDefault="00B80A81" w14:paraId="5A681358" w14:textId="77777777">
            <w:pPr>
              <w:jc w:val="center"/>
              <w:rPr>
                <w:sz w:val="28"/>
                <w:szCs w:val="28"/>
              </w:rPr>
            </w:pPr>
          </w:p>
        </w:tc>
      </w:tr>
      <w:tr w:rsidR="00B80A81" w:rsidTr="00373625" w14:paraId="5127CB7C" w14:textId="77777777">
        <w:trPr>
          <w:jc w:val="center"/>
        </w:trPr>
        <w:tc>
          <w:tcPr>
            <w:tcW w:w="1290" w:type="pct"/>
            <w:tcBorders>
              <w:top w:val="single" w:color="FFFFFF" w:themeColor="background1" w:sz="24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</w:tcPr>
          <w:p w:rsidR="00B80A81" w:rsidP="003F17D6" w:rsidRDefault="00B80A81" w14:paraId="50CBDA53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pct"/>
            <w:tcBorders>
              <w:top w:val="single" w:color="FFFFFF" w:themeColor="background1" w:sz="24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  <w:shd w:val="clear" w:color="auto" w:fill="D6E3BC" w:themeFill="accent3" w:themeFillTint="66"/>
          </w:tcPr>
          <w:p w:rsidRPr="00B80A81" w:rsidR="00B80A81" w:rsidP="00942C4E" w:rsidRDefault="00B80A81" w14:paraId="4586189A" w14:textId="28A154C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80A81">
              <w:rPr>
                <w:sz w:val="24"/>
                <w:szCs w:val="24"/>
              </w:rPr>
              <w:t>0 – 16</w:t>
            </w:r>
            <w:r w:rsidRPr="00942C4E" w:rsidR="00942C4E">
              <w:rPr>
                <w:sz w:val="24"/>
                <w:szCs w:val="24"/>
                <w:vertAlign w:val="superscript"/>
              </w:rPr>
              <w:t>th</w:t>
            </w:r>
            <w:r w:rsidR="00942C4E">
              <w:rPr>
                <w:sz w:val="24"/>
                <w:szCs w:val="24"/>
              </w:rPr>
              <w:t xml:space="preserve"> birthday</w:t>
            </w:r>
          </w:p>
        </w:tc>
        <w:tc>
          <w:tcPr>
            <w:tcW w:w="1210" w:type="pct"/>
            <w:tcBorders>
              <w:top w:val="single" w:color="FFFFFF" w:themeColor="background1" w:sz="24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  <w:shd w:val="clear" w:color="auto" w:fill="D6E3BC" w:themeFill="accent3" w:themeFillTint="66"/>
          </w:tcPr>
          <w:p w:rsidRPr="00B80A81" w:rsidR="00B80A81" w:rsidP="00DA4AF3" w:rsidRDefault="00B80A81" w14:paraId="378391CC" w14:textId="7AA885E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years and above</w:t>
            </w:r>
          </w:p>
        </w:tc>
        <w:tc>
          <w:tcPr>
            <w:tcW w:w="1290" w:type="pct"/>
            <w:tcBorders>
              <w:top w:val="single" w:color="FFFFFF" w:themeColor="background1" w:sz="24" w:space="0"/>
              <w:left w:val="single" w:color="FFFFFF" w:themeColor="background1" w:sz="24" w:space="0"/>
              <w:bottom w:val="single" w:color="FFFFFF" w:themeColor="background1" w:sz="24" w:space="0"/>
              <w:right w:val="single" w:color="FFFFFF" w:themeColor="background1" w:sz="24" w:space="0"/>
            </w:tcBorders>
          </w:tcPr>
          <w:p w:rsidR="00B80A81" w:rsidP="003F17D6" w:rsidRDefault="00B80A81" w14:paraId="4D7D0B50" w14:textId="77777777">
            <w:pPr>
              <w:jc w:val="center"/>
              <w:rPr>
                <w:sz w:val="28"/>
                <w:szCs w:val="28"/>
              </w:rPr>
            </w:pPr>
          </w:p>
        </w:tc>
      </w:tr>
    </w:tbl>
    <w:p w:rsidRPr="00DA4AF3" w:rsidR="002455CA" w:rsidP="00DA4AF3" w:rsidRDefault="0083113B" w14:paraId="1242BD17" w14:textId="450CCFA2">
      <w:pPr>
        <w:spacing w:after="0"/>
        <w:ind w:left="2520" w:firstLine="360"/>
        <w:rPr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</w:t>
      </w:r>
      <w:r w:rsidRPr="00DA4AF3" w:rsidR="00DA4AF3">
        <w:rPr>
          <w:rFonts w:cstheme="minorHAnsi"/>
          <w:sz w:val="36"/>
          <w:szCs w:val="36"/>
        </w:rPr>
        <w:t>↓</w:t>
      </w:r>
      <w:r w:rsidR="00DA4AF3">
        <w:rPr>
          <w:sz w:val="28"/>
          <w:szCs w:val="28"/>
        </w:rPr>
        <w:t xml:space="preserve">                               </w:t>
      </w:r>
      <w:r w:rsidRPr="00DA4AF3" w:rsidR="00DA4AF3">
        <w:rPr>
          <w:rFonts w:cstheme="minorHAnsi"/>
          <w:sz w:val="36"/>
          <w:szCs w:val="36"/>
        </w:rPr>
        <w:t>↓</w:t>
      </w:r>
    </w:p>
    <w:tbl>
      <w:tblPr>
        <w:tblStyle w:val="TableGrid"/>
        <w:tblW w:w="47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82"/>
        <w:gridCol w:w="776"/>
        <w:gridCol w:w="3886"/>
      </w:tblGrid>
      <w:tr w:rsidR="00373625" w:rsidTr="00F53D00" w14:paraId="62FE9F42" w14:textId="77777777">
        <w:trPr>
          <w:trHeight w:val="1020"/>
          <w:jc w:val="center"/>
        </w:trPr>
        <w:tc>
          <w:tcPr>
            <w:tcW w:w="2272" w:type="pct"/>
            <w:shd w:val="clear" w:color="auto" w:fill="D6E3BC" w:themeFill="accent3" w:themeFillTint="66"/>
            <w:vAlign w:val="center"/>
          </w:tcPr>
          <w:p w:rsidRPr="00C803BB" w:rsidR="00C803BB" w:rsidP="00F53D00" w:rsidRDefault="00C803BB" w14:paraId="736DE070" w14:textId="3B34A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 to Paediatric Registrar at Lister Hospital </w:t>
            </w:r>
            <w:r w:rsidR="003734DD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 xml:space="preserve">be seen </w:t>
            </w:r>
            <w:r w:rsidRPr="000D710C">
              <w:rPr>
                <w:color w:val="FF0000"/>
                <w:sz w:val="24"/>
                <w:szCs w:val="24"/>
              </w:rPr>
              <w:t xml:space="preserve">SAME DAY </w:t>
            </w:r>
            <w:r>
              <w:rPr>
                <w:sz w:val="24"/>
                <w:szCs w:val="24"/>
              </w:rPr>
              <w:t>in C</w:t>
            </w:r>
            <w:r w:rsidR="009A5BE4">
              <w:rPr>
                <w:sz w:val="24"/>
                <w:szCs w:val="24"/>
              </w:rPr>
              <w:t xml:space="preserve">hildren </w:t>
            </w:r>
            <w:r>
              <w:rPr>
                <w:sz w:val="24"/>
                <w:szCs w:val="24"/>
              </w:rPr>
              <w:t>A</w:t>
            </w:r>
            <w:r w:rsidR="009A5BE4">
              <w:rPr>
                <w:sz w:val="24"/>
                <w:szCs w:val="24"/>
              </w:rPr>
              <w:t xml:space="preserve">ssessment </w:t>
            </w:r>
            <w:r>
              <w:rPr>
                <w:sz w:val="24"/>
                <w:szCs w:val="24"/>
              </w:rPr>
              <w:t>U</w:t>
            </w:r>
            <w:r w:rsidR="009A5BE4">
              <w:rPr>
                <w:sz w:val="24"/>
                <w:szCs w:val="24"/>
              </w:rPr>
              <w:t>nit (CAU)</w:t>
            </w:r>
          </w:p>
        </w:tc>
        <w:tc>
          <w:tcPr>
            <w:tcW w:w="454" w:type="pct"/>
            <w:vAlign w:val="center"/>
          </w:tcPr>
          <w:p w:rsidRPr="00C803BB" w:rsidR="00C803BB" w:rsidP="00F53D00" w:rsidRDefault="00C803BB" w14:paraId="5948267E" w14:textId="77777777">
            <w:pPr>
              <w:rPr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D6E3BC" w:themeFill="accent3" w:themeFillTint="66"/>
            <w:vAlign w:val="center"/>
          </w:tcPr>
          <w:p w:rsidRPr="00C803BB" w:rsidR="00C803BB" w:rsidP="00F53D00" w:rsidRDefault="00C803BB" w14:paraId="3FF988B7" w14:textId="41110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 to Adult Medical Registrar at Lister Hospital, to be seen </w:t>
            </w:r>
            <w:r w:rsidRPr="000D710C">
              <w:rPr>
                <w:color w:val="FF0000"/>
                <w:sz w:val="24"/>
                <w:szCs w:val="24"/>
              </w:rPr>
              <w:t xml:space="preserve">SAME DAY </w:t>
            </w:r>
            <w:r>
              <w:rPr>
                <w:sz w:val="24"/>
                <w:szCs w:val="24"/>
              </w:rPr>
              <w:t>in M</w:t>
            </w:r>
            <w:r w:rsidR="009A5BE4">
              <w:rPr>
                <w:sz w:val="24"/>
                <w:szCs w:val="24"/>
              </w:rPr>
              <w:t xml:space="preserve">edical </w:t>
            </w:r>
            <w:r>
              <w:rPr>
                <w:sz w:val="24"/>
                <w:szCs w:val="24"/>
              </w:rPr>
              <w:t>A</w:t>
            </w:r>
            <w:r w:rsidR="009A5BE4">
              <w:rPr>
                <w:sz w:val="24"/>
                <w:szCs w:val="24"/>
              </w:rPr>
              <w:t>dmission Unit (MAU)</w:t>
            </w:r>
          </w:p>
        </w:tc>
      </w:tr>
    </w:tbl>
    <w:p w:rsidRPr="00851D8C" w:rsidR="00373625" w:rsidP="000D710C" w:rsidRDefault="00373625" w14:paraId="2CBC1CCC" w14:textId="69EA4E56">
      <w:pPr>
        <w:spacing w:before="120" w:after="0" w:line="240" w:lineRule="auto"/>
        <w:ind w:left="1440" w:hanging="1440"/>
        <w:rPr>
          <w:sz w:val="16"/>
          <w:szCs w:val="16"/>
        </w:rPr>
      </w:pPr>
      <w:r>
        <w:rPr>
          <w:b/>
          <w:sz w:val="24"/>
          <w:szCs w:val="24"/>
        </w:rPr>
        <w:tab/>
      </w:r>
    </w:p>
    <w:p w:rsidR="00050CBC" w:rsidP="00050CBC" w:rsidRDefault="00050CBC" w14:paraId="5999521D" w14:textId="383197F5">
      <w:pPr>
        <w:shd w:val="clear" w:color="auto" w:fill="FFFFFF"/>
        <w:spacing w:after="0" w:line="240" w:lineRule="auto"/>
        <w:textAlignment w:val="center"/>
        <w:rPr>
          <w:rFonts w:ascii="Calibri" w:hAnsi="Calibri" w:eastAsia="Times New Roman" w:cs="Calibri"/>
          <w:b/>
          <w:bCs/>
          <w:color w:val="244061" w:themeColor="accent1" w:themeShade="80"/>
          <w:sz w:val="24"/>
          <w:szCs w:val="24"/>
          <w:shd w:val="clear" w:color="auto" w:fill="FFFFFF"/>
          <w:lang w:eastAsia="en-GB"/>
        </w:rPr>
      </w:pPr>
      <w:r w:rsidRPr="0017042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 xml:space="preserve">Any </w:t>
      </w:r>
      <w:r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>CYP</w:t>
      </w:r>
      <w:r w:rsidRPr="0017042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 xml:space="preserve"> with </w:t>
      </w:r>
      <w:r w:rsidRPr="000C6690">
        <w:rPr>
          <w:rFonts w:ascii="Calibri" w:hAnsi="Calibri" w:eastAsia="Times New Roman" w:cs="Calibri"/>
          <w:b/>
          <w:bCs/>
          <w:color w:val="EE0000"/>
          <w:sz w:val="24"/>
          <w:szCs w:val="24"/>
          <w:shd w:val="clear" w:color="auto" w:fill="FFFFFF"/>
          <w:lang w:eastAsia="en-GB"/>
        </w:rPr>
        <w:t>newly diagnosed diabetes</w:t>
      </w:r>
      <w:r w:rsidRPr="000C6690" w:rsidR="000C6690">
        <w:rPr>
          <w:rFonts w:ascii="Calibri" w:hAnsi="Calibri" w:eastAsia="Times New Roman" w:cs="Calibri"/>
          <w:b/>
          <w:bCs/>
          <w:color w:val="EE0000"/>
          <w:sz w:val="24"/>
          <w:szCs w:val="24"/>
          <w:shd w:val="clear" w:color="auto" w:fill="FFFFFF"/>
          <w:lang w:eastAsia="en-GB"/>
        </w:rPr>
        <w:t xml:space="preserve"> presenting in DKA after a</w:t>
      </w:r>
      <w:r w:rsidRPr="000C6690">
        <w:rPr>
          <w:rFonts w:ascii="Calibri" w:hAnsi="Calibri" w:eastAsia="Times New Roman" w:cs="Calibri"/>
          <w:b/>
          <w:bCs/>
          <w:color w:val="EE0000"/>
          <w:sz w:val="24"/>
          <w:szCs w:val="24"/>
          <w:shd w:val="clear" w:color="auto" w:fill="FFFFFF"/>
          <w:lang w:eastAsia="en-GB"/>
        </w:rPr>
        <w:t xml:space="preserve"> delayed referral from primary to secondary care is considered an </w:t>
      </w:r>
      <w:r w:rsidRPr="000C6690" w:rsidR="009A3A69">
        <w:rPr>
          <w:rFonts w:ascii="Calibri" w:hAnsi="Calibri" w:eastAsia="Times New Roman" w:cs="Calibri"/>
          <w:b/>
          <w:bCs/>
          <w:color w:val="EE0000"/>
          <w:sz w:val="24"/>
          <w:szCs w:val="24"/>
          <w:shd w:val="clear" w:color="auto" w:fill="FFFFFF"/>
          <w:lang w:eastAsia="en-GB"/>
        </w:rPr>
        <w:t>avoidable clinical incident</w:t>
      </w:r>
      <w:r w:rsidRPr="0017042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>.</w:t>
      </w:r>
      <w:r w:rsidRPr="00170424">
        <w:rPr>
          <w:rFonts w:ascii="Calibri" w:hAnsi="Calibri" w:eastAsia="Times New Roman" w:cs="Calibri"/>
          <w:b/>
          <w:bCs/>
          <w:color w:val="244061" w:themeColor="accent1" w:themeShade="80"/>
          <w:sz w:val="24"/>
          <w:szCs w:val="24"/>
          <w:shd w:val="clear" w:color="auto" w:fill="FFFFFF"/>
          <w:lang w:eastAsia="en-GB"/>
        </w:rPr>
        <w:t> </w:t>
      </w:r>
    </w:p>
    <w:p w:rsidRPr="00170424" w:rsidR="00AB4F64" w:rsidP="00050CBC" w:rsidRDefault="00AB4F64" w14:paraId="7B613564" w14:textId="77777777">
      <w:pPr>
        <w:shd w:val="clear" w:color="auto" w:fill="FFFFFF"/>
        <w:spacing w:after="0" w:line="240" w:lineRule="auto"/>
        <w:textAlignment w:val="center"/>
        <w:rPr>
          <w:rFonts w:ascii="Calibri" w:hAnsi="Calibri" w:eastAsia="Times New Roman" w:cs="Calibri"/>
          <w:color w:val="4F81BD" w:themeColor="accent1"/>
          <w:sz w:val="24"/>
          <w:szCs w:val="24"/>
          <w:shd w:val="clear" w:color="auto" w:fill="FFFFFF"/>
          <w:lang w:eastAsia="en-GB"/>
        </w:rPr>
      </w:pPr>
    </w:p>
    <w:p w:rsidRPr="00170424" w:rsidR="00050CBC" w:rsidP="00050CBC" w:rsidRDefault="00050CBC" w14:paraId="69F010C1" w14:textId="22374DE7">
      <w:pPr>
        <w:shd w:val="clear" w:color="auto" w:fill="FFFFFF"/>
        <w:spacing w:after="0" w:line="240" w:lineRule="auto"/>
        <w:textAlignment w:val="center"/>
        <w:rPr>
          <w:rFonts w:ascii="Calibri" w:hAnsi="Calibri" w:eastAsia="Times New Roman" w:cs="Calibri"/>
          <w:color w:val="4F81BD" w:themeColor="accent1"/>
          <w:sz w:val="24"/>
          <w:szCs w:val="24"/>
          <w:shd w:val="clear" w:color="auto" w:fill="FFFFFF"/>
          <w:lang w:eastAsia="en-GB"/>
        </w:rPr>
      </w:pPr>
      <w:r w:rsidRPr="0017042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 xml:space="preserve">In this circumstance, as the clinically responsible secondary care team, we </w:t>
      </w:r>
      <w:r w:rsidR="00AB4F6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>recommend</w:t>
      </w:r>
      <w:r w:rsidRPr="0017042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 xml:space="preserve"> that the incident is investigated and the action plan from the root cause analysis is </w:t>
      </w:r>
      <w:r w:rsidR="00863A6D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 xml:space="preserve">shared </w:t>
      </w:r>
      <w:r w:rsidR="00AB4F6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 xml:space="preserve">with </w:t>
      </w:r>
      <w:r w:rsidR="00863A6D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 xml:space="preserve">the team </w:t>
      </w:r>
      <w:r w:rsidRPr="0017042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>to enhance feedback and reflective learning.</w:t>
      </w:r>
    </w:p>
    <w:p w:rsidR="00050CBC" w:rsidP="00050CBC" w:rsidRDefault="00050CBC" w14:paraId="5D351CA8" w14:textId="70F1120A">
      <w:pPr>
        <w:shd w:val="clear" w:color="auto" w:fill="FFFFFF"/>
        <w:spacing w:before="120" w:after="0" w:line="240" w:lineRule="auto"/>
        <w:textAlignment w:val="center"/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</w:pPr>
      <w:r w:rsidRPr="00170424">
        <w:rPr>
          <w:rFonts w:ascii="Calibri" w:hAnsi="Calibri" w:eastAsia="Times New Roman" w:cs="Calibri"/>
          <w:b/>
          <w:bCs/>
          <w:color w:val="4F81BD" w:themeColor="accent1"/>
          <w:sz w:val="24"/>
          <w:szCs w:val="24"/>
          <w:shd w:val="clear" w:color="auto" w:fill="FFFFFF"/>
          <w:lang w:eastAsia="en-GB"/>
        </w:rPr>
        <w:t>We are actively involved in formal training to GPs and are happy to be contacted for advice.</w:t>
      </w:r>
    </w:p>
    <w:p w:rsidR="0016446C" w:rsidP="7BA1BC80" w:rsidRDefault="0016446C" w14:paraId="713E17AC" w14:textId="5B0198DD">
      <w:pPr>
        <w:pStyle w:val="Normal"/>
        <w:shd w:val="clear" w:color="auto" w:fill="FFFFFF" w:themeFill="background1"/>
        <w:spacing w:before="120" w:after="0" w:line="240" w:lineRule="auto"/>
        <w:textAlignment w:val="center"/>
        <w:rPr>
          <w:rFonts w:ascii="Calibri" w:hAnsi="Calibri" w:eastAsia="Times New Roman" w:cs="Calibri"/>
          <w:b w:val="1"/>
          <w:bCs w:val="1"/>
          <w:color w:val="4F81BD" w:themeColor="accent1" w:themeTint="FF" w:themeShade="FF"/>
          <w:sz w:val="24"/>
          <w:szCs w:val="24"/>
          <w:lang w:eastAsia="en-GB"/>
        </w:rPr>
      </w:pPr>
    </w:p>
    <w:p w:rsidR="0016446C" w:rsidP="0016446C" w:rsidRDefault="0016446C" w14:paraId="21E0BFC2" w14:textId="77777777">
      <w:pPr>
        <w:shd w:val="clear" w:color="auto" w:fill="FFFFFF"/>
        <w:spacing w:before="120" w:after="0" w:line="240" w:lineRule="auto"/>
        <w:textAlignment w:val="center"/>
        <w:rPr>
          <w:b/>
          <w:bCs/>
        </w:rPr>
      </w:pPr>
    </w:p>
    <w:p w:rsidRPr="000F40C5" w:rsidR="0016446C" w:rsidP="001C15DC" w:rsidRDefault="001C15DC" w14:paraId="2398181C" w14:textId="12FDC25F">
      <w:pPr>
        <w:shd w:val="clear" w:color="auto" w:fill="FFFFFF"/>
        <w:spacing w:before="120" w:after="0" w:line="240" w:lineRule="auto"/>
        <w:jc w:val="center"/>
        <w:textAlignment w:val="center"/>
        <w:rPr>
          <w:color w:val="EE0000"/>
        </w:rPr>
      </w:pPr>
      <w:r>
        <w:rPr>
          <w:b/>
          <w:bCs/>
          <w:color w:val="EE0000"/>
        </w:rPr>
        <w:t xml:space="preserve">PATIENTS in whom TYPE 2 DIABETES is </w:t>
      </w:r>
      <w:r w:rsidR="00F12F11">
        <w:rPr>
          <w:b/>
          <w:bCs/>
          <w:color w:val="EE0000"/>
        </w:rPr>
        <w:t>SUSPECTED</w:t>
      </w:r>
    </w:p>
    <w:p w:rsidR="00D33F6A" w:rsidP="0016446C" w:rsidRDefault="00D33F6A" w14:paraId="57621609" w14:textId="77777777">
      <w:pPr>
        <w:shd w:val="clear" w:color="auto" w:fill="FFFFFF"/>
        <w:spacing w:before="120" w:after="0" w:line="240" w:lineRule="auto"/>
        <w:textAlignment w:val="center"/>
        <w:rPr>
          <w:b/>
          <w:bCs/>
          <w:color w:val="EE0000"/>
        </w:rPr>
      </w:pPr>
    </w:p>
    <w:p w:rsidRPr="002B1E96" w:rsidR="0016446C" w:rsidP="0016446C" w:rsidRDefault="0016446C" w14:paraId="10A7612C" w14:textId="44CD5D18">
      <w:pPr>
        <w:shd w:val="clear" w:color="auto" w:fill="FFFFFF"/>
        <w:spacing w:before="120" w:after="0" w:line="240" w:lineRule="auto"/>
        <w:textAlignment w:val="center"/>
      </w:pPr>
      <w:r w:rsidRPr="002B1E96">
        <w:rPr>
          <w:b/>
          <w:bCs/>
          <w:color w:val="EE0000"/>
        </w:rPr>
        <w:t>Type 2 Diabetes can present with ketosis and DKA</w:t>
      </w:r>
      <w:r w:rsidRPr="002B1E96">
        <w:rPr>
          <w:b/>
          <w:bCs/>
        </w:rPr>
        <w:t xml:space="preserve">, so please </w:t>
      </w:r>
      <w:r w:rsidRPr="002B1E96">
        <w:rPr>
          <w:b/>
          <w:bCs/>
          <w:color w:val="EE0000"/>
        </w:rPr>
        <w:t xml:space="preserve">DO NOT delay in making this referral </w:t>
      </w:r>
      <w:r w:rsidRPr="002B1E96">
        <w:rPr>
          <w:b/>
          <w:bCs/>
        </w:rPr>
        <w:t xml:space="preserve">and if </w:t>
      </w:r>
      <w:r w:rsidR="001C15DC">
        <w:rPr>
          <w:b/>
          <w:bCs/>
        </w:rPr>
        <w:t xml:space="preserve">unsure please discuss with </w:t>
      </w:r>
      <w:r w:rsidRPr="002B1E96" w:rsidR="00D33F6A">
        <w:rPr>
          <w:b/>
          <w:bCs/>
        </w:rPr>
        <w:t>Paediatric</w:t>
      </w:r>
      <w:r w:rsidRPr="002B1E96">
        <w:rPr>
          <w:b/>
          <w:bCs/>
        </w:rPr>
        <w:t xml:space="preserve"> Consultant via Telephone Hot Line or via "Advice and Guidance".</w:t>
      </w:r>
    </w:p>
    <w:p w:rsidRPr="000F40C5" w:rsidR="0016446C" w:rsidP="0016446C" w:rsidRDefault="0016446C" w14:paraId="00479E58" w14:textId="74131F47">
      <w:pPr>
        <w:shd w:val="clear" w:color="auto" w:fill="FFFFFF"/>
        <w:spacing w:before="120" w:after="0" w:line="240" w:lineRule="auto"/>
        <w:textAlignment w:val="center"/>
        <w:rPr>
          <w:color w:val="EE0000"/>
        </w:rPr>
      </w:pPr>
    </w:p>
    <w:p w:rsidRPr="00F12F11" w:rsidR="0016446C" w:rsidP="0016446C" w:rsidRDefault="00D33F6A" w14:paraId="7E7C9F7F" w14:textId="4FB5C004">
      <w:pPr>
        <w:shd w:val="clear" w:color="auto" w:fill="FFFFFF"/>
        <w:spacing w:before="120" w:after="0" w:line="240" w:lineRule="auto"/>
        <w:textAlignment w:val="center"/>
        <w:rPr>
          <w:color w:val="EE0000"/>
        </w:rPr>
      </w:pPr>
      <w:r>
        <w:rPr>
          <w:b/>
          <w:bCs/>
        </w:rPr>
        <w:t>B</w:t>
      </w:r>
      <w:r w:rsidRPr="002B1E96" w:rsidR="0016446C">
        <w:rPr>
          <w:b/>
          <w:bCs/>
        </w:rPr>
        <w:t xml:space="preserve">ased on stratification of clinical risk and HbA1c, according to </w:t>
      </w:r>
      <w:r w:rsidRPr="000F40C5" w:rsidR="0016446C">
        <w:rPr>
          <w:b/>
          <w:bCs/>
          <w:color w:val="EE0000"/>
        </w:rPr>
        <w:t>ISPAD guidance we initiate insulin therapy in children with Type 2 diabetes if HbA1c &gt;= 69 mmol/l</w:t>
      </w:r>
      <w:r w:rsidR="00F12F11">
        <w:rPr>
          <w:b/>
          <w:bCs/>
          <w:color w:val="EE0000"/>
        </w:rPr>
        <w:t>.</w:t>
      </w:r>
    </w:p>
    <w:p w:rsidRPr="000F40C5" w:rsidR="0016446C" w:rsidP="0016446C" w:rsidRDefault="0016446C" w14:paraId="0DFFBFF4" w14:textId="1DED4992">
      <w:pPr>
        <w:shd w:val="clear" w:color="auto" w:fill="FFFFFF"/>
        <w:spacing w:before="120" w:after="0" w:line="240" w:lineRule="auto"/>
        <w:textAlignment w:val="center"/>
        <w:rPr>
          <w:color w:val="EE0000"/>
        </w:rPr>
      </w:pPr>
    </w:p>
    <w:p w:rsidRPr="00863A6D" w:rsidR="002B1E96" w:rsidP="0016446C" w:rsidRDefault="0016446C" w14:paraId="20C69580" w14:textId="2C2A61A7">
      <w:pPr>
        <w:shd w:val="clear" w:color="auto" w:fill="FFFFFF"/>
        <w:spacing w:before="120" w:after="0" w:line="240" w:lineRule="auto"/>
        <w:textAlignment w:val="center"/>
        <w:rPr>
          <w:b/>
          <w:bCs/>
        </w:rPr>
      </w:pPr>
      <w:r w:rsidRPr="002B1E96">
        <w:rPr>
          <w:b/>
          <w:bCs/>
        </w:rPr>
        <w:t>We hope that this message will encourage you to consider</w:t>
      </w:r>
      <w:r w:rsidRPr="00863A6D" w:rsidR="002B1E96">
        <w:rPr>
          <w:b/>
          <w:bCs/>
        </w:rPr>
        <w:t>:</w:t>
      </w:r>
    </w:p>
    <w:p w:rsidRPr="00F12F11" w:rsidR="008A3966" w:rsidP="0016446C" w:rsidRDefault="002B1E96" w14:paraId="2FE42069" w14:textId="5FB6736F">
      <w:pPr>
        <w:pStyle w:val="ListParagraph"/>
        <w:numPr>
          <w:ilvl w:val="0"/>
          <w:numId w:val="17"/>
        </w:numPr>
        <w:shd w:val="clear" w:color="auto" w:fill="FFFFFF"/>
        <w:spacing w:before="120" w:after="0" w:line="240" w:lineRule="auto"/>
        <w:textAlignment w:val="center"/>
        <w:rPr>
          <w:b/>
          <w:bCs/>
          <w:color w:val="EE0000"/>
        </w:rPr>
      </w:pPr>
      <w:r w:rsidRPr="00F12F11">
        <w:rPr>
          <w:b/>
          <w:bCs/>
          <w:color w:val="EE0000"/>
          <w:sz w:val="24"/>
          <w:szCs w:val="24"/>
        </w:rPr>
        <w:t>I</w:t>
      </w:r>
      <w:r w:rsidRPr="00F12F11" w:rsidR="0016446C">
        <w:rPr>
          <w:b/>
          <w:bCs/>
          <w:color w:val="EE0000"/>
          <w:sz w:val="24"/>
          <w:szCs w:val="24"/>
        </w:rPr>
        <w:t xml:space="preserve">mmediate referral for patients with likely </w:t>
      </w:r>
      <w:r w:rsidRPr="00F12F11" w:rsidR="000A597D">
        <w:rPr>
          <w:b/>
          <w:bCs/>
          <w:color w:val="EE0000"/>
          <w:sz w:val="24"/>
          <w:szCs w:val="24"/>
        </w:rPr>
        <w:t>Type</w:t>
      </w:r>
      <w:r w:rsidRPr="00F12F11" w:rsidR="0016446C">
        <w:rPr>
          <w:b/>
          <w:bCs/>
          <w:color w:val="EE0000"/>
          <w:sz w:val="24"/>
          <w:szCs w:val="24"/>
        </w:rPr>
        <w:t xml:space="preserve"> 1 diabetes as per the referral </w:t>
      </w:r>
      <w:r w:rsidRPr="00F12F11" w:rsidR="000A597D">
        <w:rPr>
          <w:b/>
          <w:bCs/>
          <w:color w:val="EE0000"/>
          <w:sz w:val="24"/>
          <w:szCs w:val="24"/>
        </w:rPr>
        <w:t xml:space="preserve">pathway </w:t>
      </w:r>
    </w:p>
    <w:p w:rsidRPr="00F12F11" w:rsidR="00F12F11" w:rsidP="00F12F11" w:rsidRDefault="00F12F11" w14:paraId="71626CAB" w14:textId="77777777">
      <w:pPr>
        <w:pStyle w:val="ListParagraph"/>
        <w:shd w:val="clear" w:color="auto" w:fill="FFFFFF"/>
        <w:spacing w:before="120" w:after="0" w:line="240" w:lineRule="auto"/>
        <w:ind w:left="360"/>
        <w:textAlignment w:val="center"/>
        <w:rPr>
          <w:b/>
          <w:bCs/>
          <w:color w:val="EE0000"/>
        </w:rPr>
      </w:pPr>
    </w:p>
    <w:p w:rsidRPr="009A5BE4" w:rsidR="0016446C" w:rsidP="00050CBC" w:rsidRDefault="009A5BE4" w14:paraId="72344FB0" w14:textId="1435BFE1">
      <w:pPr>
        <w:pStyle w:val="ListParagraph"/>
        <w:numPr>
          <w:ilvl w:val="0"/>
          <w:numId w:val="17"/>
        </w:numPr>
        <w:shd w:val="clear" w:color="auto" w:fill="FFFFFF"/>
        <w:spacing w:before="120" w:after="0" w:line="240" w:lineRule="auto"/>
        <w:textAlignment w:val="center"/>
        <w:rPr>
          <w:sz w:val="28"/>
          <w:szCs w:val="28"/>
        </w:rPr>
      </w:pPr>
      <w:r w:rsidRPr="009A5BE4">
        <w:rPr>
          <w:b/>
          <w:bCs/>
          <w:color w:val="EE0000"/>
          <w:sz w:val="24"/>
          <w:szCs w:val="24"/>
        </w:rPr>
        <w:t>Refer all</w:t>
      </w:r>
      <w:r w:rsidRPr="009A5BE4" w:rsidR="0016446C">
        <w:rPr>
          <w:b/>
          <w:bCs/>
          <w:color w:val="EE0000"/>
          <w:sz w:val="24"/>
          <w:szCs w:val="24"/>
        </w:rPr>
        <w:t xml:space="preserve"> </w:t>
      </w:r>
      <w:r w:rsidRPr="009A5BE4">
        <w:rPr>
          <w:b/>
          <w:bCs/>
          <w:color w:val="EE0000"/>
          <w:sz w:val="24"/>
          <w:szCs w:val="24"/>
        </w:rPr>
        <w:t xml:space="preserve">CYP with </w:t>
      </w:r>
      <w:r w:rsidRPr="009A5BE4" w:rsidR="0016446C">
        <w:rPr>
          <w:b/>
          <w:bCs/>
          <w:color w:val="EE0000"/>
          <w:sz w:val="24"/>
          <w:szCs w:val="24"/>
        </w:rPr>
        <w:t xml:space="preserve">phenotype of Type 2 diabetes </w:t>
      </w:r>
      <w:r w:rsidRPr="00E96622" w:rsidR="009570E1">
        <w:rPr>
          <w:b/>
          <w:bCs/>
          <w:color w:val="EE0000"/>
          <w:sz w:val="24"/>
          <w:szCs w:val="24"/>
        </w:rPr>
        <w:t>urgently</w:t>
      </w:r>
      <w:r w:rsidR="009570E1">
        <w:rPr>
          <w:b/>
          <w:bCs/>
          <w:color w:val="EE0000"/>
          <w:sz w:val="24"/>
          <w:szCs w:val="24"/>
        </w:rPr>
        <w:t xml:space="preserve"> </w:t>
      </w:r>
      <w:r w:rsidRPr="009A5BE4">
        <w:rPr>
          <w:b/>
          <w:bCs/>
          <w:color w:val="EE0000"/>
          <w:sz w:val="24"/>
          <w:szCs w:val="24"/>
        </w:rPr>
        <w:t xml:space="preserve">to secondary care, so education and treatment are </w:t>
      </w:r>
      <w:r w:rsidRPr="009A5BE4" w:rsidR="000A597D">
        <w:rPr>
          <w:b/>
          <w:bCs/>
          <w:color w:val="EE0000"/>
          <w:sz w:val="24"/>
          <w:szCs w:val="24"/>
        </w:rPr>
        <w:t>initiated</w:t>
      </w:r>
      <w:r w:rsidRPr="009A5BE4" w:rsidR="0016446C">
        <w:rPr>
          <w:b/>
          <w:bCs/>
          <w:color w:val="EE0000"/>
          <w:sz w:val="24"/>
          <w:szCs w:val="24"/>
        </w:rPr>
        <w:t xml:space="preserve"> in MDT service as soon as possible</w:t>
      </w:r>
      <w:r>
        <w:rPr>
          <w:b/>
          <w:bCs/>
          <w:color w:val="EE0000"/>
          <w:sz w:val="24"/>
          <w:szCs w:val="24"/>
        </w:rPr>
        <w:t>.</w:t>
      </w:r>
    </w:p>
    <w:p w:rsidRPr="009A5BE4" w:rsidR="009A5BE4" w:rsidP="009A5BE4" w:rsidRDefault="009A5BE4" w14:paraId="487C8C8E" w14:textId="77777777">
      <w:pPr>
        <w:pStyle w:val="ListParagraph"/>
        <w:rPr>
          <w:sz w:val="28"/>
          <w:szCs w:val="28"/>
        </w:rPr>
      </w:pPr>
    </w:p>
    <w:p w:rsidRPr="009A5BE4" w:rsidR="009A5BE4" w:rsidP="009A5BE4" w:rsidRDefault="009A5BE4" w14:paraId="4741F5B9" w14:textId="77777777">
      <w:pPr>
        <w:pStyle w:val="ListParagraph"/>
        <w:shd w:val="clear" w:color="auto" w:fill="FFFFFF"/>
        <w:spacing w:before="120" w:after="0" w:line="240" w:lineRule="auto"/>
        <w:ind w:left="360"/>
        <w:textAlignment w:val="center"/>
        <w:rPr>
          <w:sz w:val="28"/>
          <w:szCs w:val="28"/>
        </w:rPr>
      </w:pPr>
    </w:p>
    <w:p w:rsidR="00D33F6A" w:rsidP="000D710C" w:rsidRDefault="000D710C" w14:paraId="7F29A98D" w14:textId="77777777">
      <w:pPr>
        <w:spacing w:after="120"/>
        <w:rPr>
          <w:b/>
          <w:sz w:val="24"/>
          <w:szCs w:val="24"/>
        </w:rPr>
      </w:pPr>
      <w:r w:rsidRPr="00F53D00">
        <w:rPr>
          <w:sz w:val="24"/>
          <w:szCs w:val="24"/>
        </w:rPr>
        <w:t xml:space="preserve">REFERENCES: </w:t>
      </w:r>
      <w:r w:rsidRPr="00F53D00">
        <w:rPr>
          <w:b/>
          <w:sz w:val="24"/>
          <w:szCs w:val="24"/>
        </w:rPr>
        <w:tab/>
      </w:r>
    </w:p>
    <w:p w:rsidRPr="009A5BE4" w:rsidR="00D33F6A" w:rsidP="009A5BE4" w:rsidRDefault="00F12F11" w14:paraId="7F2C9320" w14:textId="63E34AB3">
      <w:pPr>
        <w:pStyle w:val="ListParagraph"/>
        <w:numPr>
          <w:ilvl w:val="0"/>
          <w:numId w:val="18"/>
        </w:numPr>
        <w:spacing w:after="120"/>
        <w:rPr>
          <w:b/>
          <w:sz w:val="24"/>
          <w:szCs w:val="24"/>
        </w:rPr>
      </w:pPr>
      <w:hyperlink w:history="1" r:id="rId11">
        <w:r w:rsidRPr="00986EA3">
          <w:rPr>
            <w:rStyle w:val="Hyperlink"/>
          </w:rPr>
          <w:t>www.diabetes.org.uk/The4Ts</w:t>
        </w:r>
      </w:hyperlink>
      <w:r w:rsidRPr="009A5BE4" w:rsidR="000D710C">
        <w:rPr>
          <w:b/>
          <w:sz w:val="24"/>
          <w:szCs w:val="24"/>
        </w:rPr>
        <w:t xml:space="preserve"> </w:t>
      </w:r>
      <w:r w:rsidRPr="009A5BE4" w:rsidR="000D710C">
        <w:rPr>
          <w:b/>
          <w:sz w:val="24"/>
          <w:szCs w:val="24"/>
        </w:rPr>
        <w:tab/>
      </w:r>
      <w:r w:rsidRPr="009A5BE4" w:rsidR="000D710C">
        <w:rPr>
          <w:b/>
          <w:sz w:val="24"/>
          <w:szCs w:val="24"/>
        </w:rPr>
        <w:tab/>
      </w:r>
    </w:p>
    <w:p w:rsidRPr="00B923CC" w:rsidR="000D710C" w:rsidP="00D33F6A" w:rsidRDefault="000D710C" w14:paraId="79473263" w14:textId="0DFBA42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33F6A">
        <w:rPr>
          <w:rFonts w:cstheme="minorHAnsi"/>
        </w:rPr>
        <w:t xml:space="preserve">Diabetic Ketoacidosis at Diagnosis of Type 1 Diabetes Predicts Poor Long-term </w:t>
      </w:r>
      <w:proofErr w:type="spellStart"/>
      <w:r w:rsidRPr="00D33F6A">
        <w:rPr>
          <w:rFonts w:cstheme="minorHAnsi"/>
        </w:rPr>
        <w:t>Glycemic</w:t>
      </w:r>
      <w:proofErr w:type="spellEnd"/>
      <w:r w:rsidRPr="00D33F6A">
        <w:rPr>
          <w:rFonts w:cstheme="minorHAnsi"/>
        </w:rPr>
        <w:t xml:space="preserve"> Control, Diabetes Care 2017;40:1249–1255   </w:t>
      </w:r>
      <w:hyperlink w:history="1" r:id="rId12">
        <w:r w:rsidRPr="00986EA3" w:rsidR="00B923CC">
          <w:rPr>
            <w:rStyle w:val="Hyperlink"/>
            <w:rFonts w:cstheme="minorHAnsi"/>
          </w:rPr>
          <w:t>https://doi.org/10.2337/dc17-0558</w:t>
        </w:r>
      </w:hyperlink>
    </w:p>
    <w:p w:rsidR="00B923CC" w:rsidP="00D33F6A" w:rsidRDefault="00B923CC" w14:paraId="443AB307" w14:textId="4DDC175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proofErr w:type="spellStart"/>
      <w:r w:rsidRPr="00B923CC">
        <w:rPr>
          <w:rFonts w:cstheme="minorHAnsi"/>
          <w:bCs/>
        </w:rPr>
        <w:t>Mastromauro</w:t>
      </w:r>
      <w:proofErr w:type="spellEnd"/>
      <w:r w:rsidRPr="00B923CC">
        <w:rPr>
          <w:rFonts w:cstheme="minorHAnsi"/>
          <w:bCs/>
        </w:rPr>
        <w:t xml:space="preserve"> C, Polidori N, Blasetti A, </w:t>
      </w:r>
      <w:proofErr w:type="spellStart"/>
      <w:r w:rsidRPr="00B923CC">
        <w:rPr>
          <w:rFonts w:cstheme="minorHAnsi"/>
          <w:bCs/>
        </w:rPr>
        <w:t>Comegna</w:t>
      </w:r>
      <w:proofErr w:type="spellEnd"/>
      <w:r w:rsidRPr="00B923CC">
        <w:rPr>
          <w:rFonts w:cstheme="minorHAnsi"/>
          <w:bCs/>
        </w:rPr>
        <w:t xml:space="preserve"> L, Chiarelli F, Mohn A, Giannini C. Insulin resistance relates to DKA severity and affects insulin requirement in children with type 1 diabetes at onset. </w:t>
      </w:r>
      <w:proofErr w:type="spellStart"/>
      <w:r w:rsidRPr="00B923CC">
        <w:rPr>
          <w:rFonts w:cstheme="minorHAnsi"/>
          <w:bCs/>
        </w:rPr>
        <w:t>Pediatr</w:t>
      </w:r>
      <w:proofErr w:type="spellEnd"/>
      <w:r w:rsidRPr="00B923CC">
        <w:rPr>
          <w:rFonts w:cstheme="minorHAnsi"/>
          <w:bCs/>
        </w:rPr>
        <w:t xml:space="preserve"> Diabetes. 2022 Dec;23(8):1613-1620. </w:t>
      </w:r>
      <w:proofErr w:type="spellStart"/>
      <w:r w:rsidRPr="00B923CC">
        <w:rPr>
          <w:rFonts w:cstheme="minorHAnsi"/>
          <w:bCs/>
        </w:rPr>
        <w:t>doi</w:t>
      </w:r>
      <w:proofErr w:type="spellEnd"/>
      <w:r w:rsidRPr="00B923CC">
        <w:rPr>
          <w:rFonts w:cstheme="minorHAnsi"/>
          <w:bCs/>
        </w:rPr>
        <w:t xml:space="preserve">: 10.1111/pedi.13424. </w:t>
      </w:r>
      <w:proofErr w:type="spellStart"/>
      <w:r w:rsidRPr="00B923CC">
        <w:rPr>
          <w:rFonts w:cstheme="minorHAnsi"/>
          <w:bCs/>
        </w:rPr>
        <w:t>Epub</w:t>
      </w:r>
      <w:proofErr w:type="spellEnd"/>
      <w:r w:rsidRPr="00B923CC">
        <w:rPr>
          <w:rFonts w:cstheme="minorHAnsi"/>
          <w:bCs/>
        </w:rPr>
        <w:t xml:space="preserve"> 2022 Oct 11. PMID: 36183171; PMCID: PMC10092633.</w:t>
      </w:r>
    </w:p>
    <w:p w:rsidRPr="00B923CC" w:rsidR="009A5BE4" w:rsidP="00D33F6A" w:rsidRDefault="009A5BE4" w14:paraId="5505276F" w14:textId="5B518F5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A5BE4">
        <w:rPr>
          <w:rFonts w:cstheme="minorHAnsi"/>
          <w:bCs/>
        </w:rPr>
        <w:t xml:space="preserve">Shah AS, Barrientos-Pérez M, Chang N, Fu JF, Hannon TS, Kelsey M, Peña AS, Pinhas-Hamiel O, Urakami T, Wicklow B, Wong J, Mahmud FH. ISPAD Clinical Practice Consensus Guidelines 2024: Type 2 Diabetes in Children and Adolescents. Horm Res </w:t>
      </w:r>
      <w:proofErr w:type="spellStart"/>
      <w:r w:rsidRPr="009A5BE4">
        <w:rPr>
          <w:rFonts w:cstheme="minorHAnsi"/>
          <w:bCs/>
        </w:rPr>
        <w:t>Paediatr</w:t>
      </w:r>
      <w:proofErr w:type="spellEnd"/>
      <w:r w:rsidRPr="009A5BE4">
        <w:rPr>
          <w:rFonts w:cstheme="minorHAnsi"/>
          <w:bCs/>
        </w:rPr>
        <w:t xml:space="preserve">. 2024;97(6):555-583. </w:t>
      </w:r>
      <w:proofErr w:type="spellStart"/>
      <w:r w:rsidRPr="009A5BE4">
        <w:rPr>
          <w:rFonts w:cstheme="minorHAnsi"/>
          <w:bCs/>
        </w:rPr>
        <w:t>doi</w:t>
      </w:r>
      <w:proofErr w:type="spellEnd"/>
      <w:r w:rsidRPr="009A5BE4">
        <w:rPr>
          <w:rFonts w:cstheme="minorHAnsi"/>
          <w:bCs/>
        </w:rPr>
        <w:t xml:space="preserve">: 10.1159/000543033. </w:t>
      </w:r>
      <w:proofErr w:type="spellStart"/>
      <w:r w:rsidRPr="009A5BE4">
        <w:rPr>
          <w:rFonts w:cstheme="minorHAnsi"/>
          <w:bCs/>
        </w:rPr>
        <w:t>Epub</w:t>
      </w:r>
      <w:proofErr w:type="spellEnd"/>
      <w:r w:rsidRPr="009A5BE4">
        <w:rPr>
          <w:rFonts w:cstheme="minorHAnsi"/>
          <w:bCs/>
        </w:rPr>
        <w:t xml:space="preserve"> 2024 Dec 14. PMID: 39675348; PMCID: PMC11854986.</w:t>
      </w:r>
    </w:p>
    <w:p w:rsidRPr="00B923CC" w:rsidR="000D710C" w:rsidP="00050CBC" w:rsidRDefault="000D710C" w14:paraId="65AEE01F" w14:textId="77777777">
      <w:pPr>
        <w:shd w:val="clear" w:color="auto" w:fill="FFFFFF"/>
        <w:spacing w:before="120" w:after="0" w:line="240" w:lineRule="auto"/>
        <w:textAlignment w:val="center"/>
        <w:rPr>
          <w:bCs/>
          <w:sz w:val="28"/>
          <w:szCs w:val="28"/>
        </w:rPr>
      </w:pPr>
    </w:p>
    <w:sectPr w:rsidRPr="00B923CC" w:rsidR="000D710C" w:rsidSect="00D927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142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609" w:rsidP="00DA4AF3" w:rsidRDefault="006B1609" w14:paraId="61DFD317" w14:textId="77777777">
      <w:pPr>
        <w:spacing w:after="0" w:line="240" w:lineRule="auto"/>
      </w:pPr>
      <w:r>
        <w:separator/>
      </w:r>
    </w:p>
  </w:endnote>
  <w:endnote w:type="continuationSeparator" w:id="0">
    <w:p w:rsidR="006B1609" w:rsidP="00DA4AF3" w:rsidRDefault="006B1609" w14:paraId="64F01B9A" w14:textId="77777777">
      <w:pPr>
        <w:spacing w:after="0" w:line="240" w:lineRule="auto"/>
      </w:pPr>
      <w:r>
        <w:continuationSeparator/>
      </w:r>
    </w:p>
  </w:endnote>
  <w:endnote w:type="continuationNotice" w:id="1">
    <w:p w:rsidR="006B1609" w:rsidRDefault="006B1609" w14:paraId="7A63887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E94" w:rsidRDefault="000B1E94" w14:paraId="6E4F2A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3A69" w:rsidR="009A3A69" w:rsidP="009A3A69" w:rsidRDefault="009A3A69" w14:paraId="4FE05883" w14:textId="1224FB87">
    <w:pPr>
      <w:pStyle w:val="Footer"/>
      <w:jc w:val="right"/>
      <w:rPr>
        <w:sz w:val="16"/>
        <w:szCs w:val="16"/>
      </w:rPr>
    </w:pPr>
    <w:r w:rsidRPr="009A3A69">
      <w:rPr>
        <w:sz w:val="16"/>
        <w:szCs w:val="16"/>
      </w:rPr>
      <w:t xml:space="preserve">CYP Diabetes Team   Version </w:t>
    </w:r>
    <w:r w:rsidR="00A50E7C">
      <w:rPr>
        <w:sz w:val="16"/>
        <w:szCs w:val="16"/>
      </w:rPr>
      <w:t>3</w:t>
    </w:r>
    <w:r w:rsidRPr="009A3A69">
      <w:rPr>
        <w:sz w:val="16"/>
        <w:szCs w:val="16"/>
      </w:rPr>
      <w:t xml:space="preserve">. </w:t>
    </w:r>
    <w:r w:rsidR="000B1E94">
      <w:rPr>
        <w:sz w:val="16"/>
        <w:szCs w:val="16"/>
      </w:rPr>
      <w:t xml:space="preserve">April </w:t>
    </w:r>
    <w:r w:rsidR="00A50E7C">
      <w:rPr>
        <w:sz w:val="16"/>
        <w:szCs w:val="16"/>
      </w:rPr>
      <w:t>2026</w:t>
    </w:r>
    <w:r w:rsidR="00E8293A">
      <w:rPr>
        <w:sz w:val="16"/>
        <w:szCs w:val="16"/>
      </w:rPr>
      <w:t xml:space="preserve"> to be reviewed </w:t>
    </w:r>
    <w:r w:rsidR="000B1E94">
      <w:rPr>
        <w:sz w:val="16"/>
        <w:szCs w:val="16"/>
      </w:rPr>
      <w:t>April</w:t>
    </w:r>
    <w:r w:rsidR="00A50E7C">
      <w:rPr>
        <w:sz w:val="16"/>
        <w:szCs w:val="16"/>
      </w:rPr>
      <w:t xml:space="preserve"> 2029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E94" w:rsidRDefault="000B1E94" w14:paraId="34949EB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609" w:rsidP="00DA4AF3" w:rsidRDefault="006B1609" w14:paraId="09BA4D23" w14:textId="77777777">
      <w:pPr>
        <w:spacing w:after="0" w:line="240" w:lineRule="auto"/>
      </w:pPr>
      <w:r>
        <w:separator/>
      </w:r>
    </w:p>
  </w:footnote>
  <w:footnote w:type="continuationSeparator" w:id="0">
    <w:p w:rsidR="006B1609" w:rsidP="00DA4AF3" w:rsidRDefault="006B1609" w14:paraId="3C0923F2" w14:textId="77777777">
      <w:pPr>
        <w:spacing w:after="0" w:line="240" w:lineRule="auto"/>
      </w:pPr>
      <w:r>
        <w:continuationSeparator/>
      </w:r>
    </w:p>
  </w:footnote>
  <w:footnote w:type="continuationNotice" w:id="1">
    <w:p w:rsidR="006B1609" w:rsidRDefault="006B1609" w14:paraId="46A312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E94" w:rsidRDefault="000B1E94" w14:paraId="7B903A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04DD" w:rsidP="00D92762" w:rsidRDefault="00D92762" w14:paraId="57D2D2A3" w14:textId="4A341D52">
    <w:pPr>
      <w:pStyle w:val="Header"/>
      <w:tabs>
        <w:tab w:val="clear" w:pos="9026"/>
        <w:tab w:val="right" w:pos="9639"/>
      </w:tabs>
      <w:ind w:right="-613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DA0B698" wp14:editId="7B7F996C">
          <wp:simplePos x="0" y="0"/>
          <wp:positionH relativeFrom="column">
            <wp:posOffset>1888490</wp:posOffset>
          </wp:positionH>
          <wp:positionV relativeFrom="paragraph">
            <wp:posOffset>-69850</wp:posOffset>
          </wp:positionV>
          <wp:extent cx="784860" cy="53467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en-GB"/>
      </w:rPr>
      <w:drawing>
        <wp:inline distT="0" distB="0" distL="0" distR="0" wp14:anchorId="78191302" wp14:editId="7610A40C">
          <wp:extent cx="690113" cy="452141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265" cy="45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53D00">
      <w:t xml:space="preserve"> </w:t>
    </w:r>
    <w:r>
      <w:t xml:space="preserve">                      </w:t>
    </w:r>
    <w:r w:rsidR="00F53D00">
      <w:t xml:space="preserve">                                   </w:t>
    </w:r>
    <w:r>
      <w:t xml:space="preserve">                         </w:t>
    </w:r>
    <w:r w:rsidR="00F53D00">
      <w:t xml:space="preserve">        </w:t>
    </w:r>
    <w:r>
      <w:rPr>
        <w:noProof/>
        <w:lang w:eastAsia="en-GB"/>
      </w:rPr>
      <w:drawing>
        <wp:inline distT="0" distB="0" distL="0" distR="0" wp14:anchorId="7E003FFC" wp14:editId="28B7FD80">
          <wp:extent cx="2113471" cy="401412"/>
          <wp:effectExtent l="0" t="0" r="1270" b="0"/>
          <wp:docPr id="4" name="Picture 2" descr="\\NHS-CALDECOT\Images\Non_Clinical\Posters Prints Leaflets Labels\Logos\NHS Banner even small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\\NHS-CALDECOT\Images\Non_Clinical\Posters Prints Leaflets Labels\Logos\NHS Banner even smaller.t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804" cy="4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4AF3" w:rsidP="00D92762" w:rsidRDefault="00D92762" w14:paraId="18C0C35E" w14:textId="692DAE8E">
    <w:pPr>
      <w:pStyle w:val="Header"/>
      <w:tabs>
        <w:tab w:val="clear" w:pos="4513"/>
        <w:tab w:val="clear" w:pos="9026"/>
        <w:tab w:val="left" w:pos="165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E94" w:rsidRDefault="000B1E94" w14:paraId="3D4C8A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9C7"/>
    <w:multiLevelType w:val="hybridMultilevel"/>
    <w:tmpl w:val="EF809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45B9"/>
    <w:multiLevelType w:val="hybridMultilevel"/>
    <w:tmpl w:val="EDD25548"/>
    <w:lvl w:ilvl="0" w:tplc="663A1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A6CE2"/>
    <w:multiLevelType w:val="hybridMultilevel"/>
    <w:tmpl w:val="1CFAFF1E"/>
    <w:lvl w:ilvl="0" w:tplc="ECCCE2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77C6"/>
    <w:multiLevelType w:val="hybridMultilevel"/>
    <w:tmpl w:val="5D32ADBE"/>
    <w:lvl w:ilvl="0" w:tplc="9E84A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155DC"/>
    <w:multiLevelType w:val="hybridMultilevel"/>
    <w:tmpl w:val="4B381AD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00A6"/>
    <w:multiLevelType w:val="hybridMultilevel"/>
    <w:tmpl w:val="9FD8CA72"/>
    <w:lvl w:ilvl="0" w:tplc="0B262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75522"/>
    <w:multiLevelType w:val="hybridMultilevel"/>
    <w:tmpl w:val="02E682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12C5"/>
    <w:multiLevelType w:val="hybridMultilevel"/>
    <w:tmpl w:val="CD5A8088"/>
    <w:lvl w:ilvl="0" w:tplc="DC40406C">
      <w:start w:val="1"/>
      <w:numFmt w:val="bullet"/>
      <w:lvlText w:val="-"/>
      <w:lvlJc w:val="left"/>
      <w:pPr>
        <w:ind w:left="294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700" w:hanging="360"/>
      </w:pPr>
      <w:rPr>
        <w:rFonts w:hint="default" w:ascii="Wingdings" w:hAnsi="Wingdings"/>
      </w:rPr>
    </w:lvl>
  </w:abstractNum>
  <w:abstractNum w:abstractNumId="8" w15:restartNumberingAfterBreak="0">
    <w:nsid w:val="32A52729"/>
    <w:multiLevelType w:val="hybridMultilevel"/>
    <w:tmpl w:val="6F241626"/>
    <w:lvl w:ilvl="0" w:tplc="4F32B146">
      <w:numFmt w:val="bullet"/>
      <w:lvlText w:val=""/>
      <w:lvlJc w:val="left"/>
      <w:pPr>
        <w:ind w:left="108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BC07FA9"/>
    <w:multiLevelType w:val="hybridMultilevel"/>
    <w:tmpl w:val="850C892C"/>
    <w:lvl w:ilvl="0" w:tplc="5FB890D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B0416C"/>
    <w:multiLevelType w:val="hybridMultilevel"/>
    <w:tmpl w:val="7E24B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43D8"/>
    <w:multiLevelType w:val="hybridMultilevel"/>
    <w:tmpl w:val="88E2D618"/>
    <w:lvl w:ilvl="0" w:tplc="F320B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84804"/>
    <w:multiLevelType w:val="hybridMultilevel"/>
    <w:tmpl w:val="D890BD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9BA2CBC"/>
    <w:multiLevelType w:val="hybridMultilevel"/>
    <w:tmpl w:val="E14232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1529"/>
    <w:multiLevelType w:val="hybridMultilevel"/>
    <w:tmpl w:val="005413AE"/>
    <w:lvl w:ilvl="0" w:tplc="F27C01DE">
      <w:start w:val="1"/>
      <w:numFmt w:val="bullet"/>
      <w:lvlText w:val="-"/>
      <w:lvlJc w:val="left"/>
      <w:pPr>
        <w:ind w:left="294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700" w:hanging="360"/>
      </w:pPr>
      <w:rPr>
        <w:rFonts w:hint="default" w:ascii="Wingdings" w:hAnsi="Wingdings"/>
      </w:rPr>
    </w:lvl>
  </w:abstractNum>
  <w:abstractNum w:abstractNumId="15" w15:restartNumberingAfterBreak="0">
    <w:nsid w:val="5C2B1EC0"/>
    <w:multiLevelType w:val="hybridMultilevel"/>
    <w:tmpl w:val="34B6939E"/>
    <w:lvl w:ilvl="0" w:tplc="CABE55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611BA"/>
    <w:multiLevelType w:val="hybridMultilevel"/>
    <w:tmpl w:val="9BCA1820"/>
    <w:lvl w:ilvl="0" w:tplc="29225A8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ED293B"/>
    <w:multiLevelType w:val="hybridMultilevel"/>
    <w:tmpl w:val="E42C17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1112">
    <w:abstractNumId w:val="4"/>
  </w:num>
  <w:num w:numId="2" w16cid:durableId="481968909">
    <w:abstractNumId w:val="9"/>
  </w:num>
  <w:num w:numId="3" w16cid:durableId="1522234205">
    <w:abstractNumId w:val="15"/>
  </w:num>
  <w:num w:numId="4" w16cid:durableId="1541092809">
    <w:abstractNumId w:val="7"/>
  </w:num>
  <w:num w:numId="5" w16cid:durableId="652181347">
    <w:abstractNumId w:val="14"/>
  </w:num>
  <w:num w:numId="6" w16cid:durableId="548345156">
    <w:abstractNumId w:val="3"/>
  </w:num>
  <w:num w:numId="7" w16cid:durableId="221600826">
    <w:abstractNumId w:val="1"/>
  </w:num>
  <w:num w:numId="8" w16cid:durableId="1360009278">
    <w:abstractNumId w:val="5"/>
  </w:num>
  <w:num w:numId="9" w16cid:durableId="927007631">
    <w:abstractNumId w:val="10"/>
  </w:num>
  <w:num w:numId="10" w16cid:durableId="13504450">
    <w:abstractNumId w:val="17"/>
  </w:num>
  <w:num w:numId="11" w16cid:durableId="1334576789">
    <w:abstractNumId w:val="6"/>
  </w:num>
  <w:num w:numId="12" w16cid:durableId="1216356601">
    <w:abstractNumId w:val="0"/>
  </w:num>
  <w:num w:numId="13" w16cid:durableId="1455753414">
    <w:abstractNumId w:val="13"/>
  </w:num>
  <w:num w:numId="14" w16cid:durableId="1714771164">
    <w:abstractNumId w:val="16"/>
  </w:num>
  <w:num w:numId="15" w16cid:durableId="1821463363">
    <w:abstractNumId w:val="8"/>
  </w:num>
  <w:num w:numId="16" w16cid:durableId="715354990">
    <w:abstractNumId w:val="12"/>
  </w:num>
  <w:num w:numId="17" w16cid:durableId="1415933268">
    <w:abstractNumId w:val="11"/>
  </w:num>
  <w:num w:numId="18" w16cid:durableId="69724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3E"/>
    <w:rsid w:val="0000233E"/>
    <w:rsid w:val="0002162E"/>
    <w:rsid w:val="00035DF3"/>
    <w:rsid w:val="000411AA"/>
    <w:rsid w:val="00050CBC"/>
    <w:rsid w:val="00051757"/>
    <w:rsid w:val="00060A51"/>
    <w:rsid w:val="0008524A"/>
    <w:rsid w:val="00085305"/>
    <w:rsid w:val="000A4CF7"/>
    <w:rsid w:val="000A597D"/>
    <w:rsid w:val="000A7F7E"/>
    <w:rsid w:val="000B1E94"/>
    <w:rsid w:val="000B72B7"/>
    <w:rsid w:val="000B7CF3"/>
    <w:rsid w:val="000C15E5"/>
    <w:rsid w:val="000C4DDB"/>
    <w:rsid w:val="000C6690"/>
    <w:rsid w:val="000C6890"/>
    <w:rsid w:val="000D710C"/>
    <w:rsid w:val="000F40C5"/>
    <w:rsid w:val="000F5765"/>
    <w:rsid w:val="00106DA4"/>
    <w:rsid w:val="0011146E"/>
    <w:rsid w:val="00116440"/>
    <w:rsid w:val="001248B3"/>
    <w:rsid w:val="001430A5"/>
    <w:rsid w:val="0014389F"/>
    <w:rsid w:val="00145C85"/>
    <w:rsid w:val="0016446C"/>
    <w:rsid w:val="001942E0"/>
    <w:rsid w:val="001C15DC"/>
    <w:rsid w:val="001C1B7F"/>
    <w:rsid w:val="001D554E"/>
    <w:rsid w:val="001D60EB"/>
    <w:rsid w:val="001E6E10"/>
    <w:rsid w:val="001F5128"/>
    <w:rsid w:val="00230B00"/>
    <w:rsid w:val="00237018"/>
    <w:rsid w:val="002455CA"/>
    <w:rsid w:val="00254E80"/>
    <w:rsid w:val="002719B3"/>
    <w:rsid w:val="002731AC"/>
    <w:rsid w:val="00274D6F"/>
    <w:rsid w:val="002839BB"/>
    <w:rsid w:val="00286C66"/>
    <w:rsid w:val="002A681D"/>
    <w:rsid w:val="002B1A90"/>
    <w:rsid w:val="002B1E96"/>
    <w:rsid w:val="002C4BCB"/>
    <w:rsid w:val="002F3B97"/>
    <w:rsid w:val="00335719"/>
    <w:rsid w:val="003446CC"/>
    <w:rsid w:val="00366DA8"/>
    <w:rsid w:val="003734DD"/>
    <w:rsid w:val="00373625"/>
    <w:rsid w:val="00382329"/>
    <w:rsid w:val="0039596E"/>
    <w:rsid w:val="003B2F27"/>
    <w:rsid w:val="003C193F"/>
    <w:rsid w:val="003E313A"/>
    <w:rsid w:val="003F17D6"/>
    <w:rsid w:val="003F5FF3"/>
    <w:rsid w:val="0041155D"/>
    <w:rsid w:val="00420E30"/>
    <w:rsid w:val="00434646"/>
    <w:rsid w:val="00441AC9"/>
    <w:rsid w:val="00445BE1"/>
    <w:rsid w:val="004717D0"/>
    <w:rsid w:val="00481FAF"/>
    <w:rsid w:val="00486C29"/>
    <w:rsid w:val="004C092F"/>
    <w:rsid w:val="004C3A65"/>
    <w:rsid w:val="004D33A8"/>
    <w:rsid w:val="004E20BE"/>
    <w:rsid w:val="004E3770"/>
    <w:rsid w:val="004E4AEC"/>
    <w:rsid w:val="004F78DA"/>
    <w:rsid w:val="00502F6F"/>
    <w:rsid w:val="00504439"/>
    <w:rsid w:val="00510234"/>
    <w:rsid w:val="00555BE5"/>
    <w:rsid w:val="00594D12"/>
    <w:rsid w:val="0059673D"/>
    <w:rsid w:val="005B5BD9"/>
    <w:rsid w:val="005C5DEA"/>
    <w:rsid w:val="005C6AB1"/>
    <w:rsid w:val="005D6C14"/>
    <w:rsid w:val="005F3E2B"/>
    <w:rsid w:val="00610E69"/>
    <w:rsid w:val="00630929"/>
    <w:rsid w:val="00646B87"/>
    <w:rsid w:val="00655F2A"/>
    <w:rsid w:val="00657D1C"/>
    <w:rsid w:val="006B1609"/>
    <w:rsid w:val="006B249D"/>
    <w:rsid w:val="006E4BAB"/>
    <w:rsid w:val="006F2BDC"/>
    <w:rsid w:val="007045A5"/>
    <w:rsid w:val="00720C1F"/>
    <w:rsid w:val="00747B70"/>
    <w:rsid w:val="00747B95"/>
    <w:rsid w:val="0076293E"/>
    <w:rsid w:val="007727F1"/>
    <w:rsid w:val="00772FA3"/>
    <w:rsid w:val="007B125A"/>
    <w:rsid w:val="007C68F1"/>
    <w:rsid w:val="007C6949"/>
    <w:rsid w:val="007D29C6"/>
    <w:rsid w:val="007D5F36"/>
    <w:rsid w:val="007E0C5F"/>
    <w:rsid w:val="007E1575"/>
    <w:rsid w:val="0081227E"/>
    <w:rsid w:val="00812A74"/>
    <w:rsid w:val="008204DD"/>
    <w:rsid w:val="00830B3A"/>
    <w:rsid w:val="0083113B"/>
    <w:rsid w:val="00851D8C"/>
    <w:rsid w:val="00860CB0"/>
    <w:rsid w:val="00863A6D"/>
    <w:rsid w:val="0087167F"/>
    <w:rsid w:val="0087232A"/>
    <w:rsid w:val="00880D01"/>
    <w:rsid w:val="00897324"/>
    <w:rsid w:val="00897527"/>
    <w:rsid w:val="008A3966"/>
    <w:rsid w:val="008B4E0D"/>
    <w:rsid w:val="008B5147"/>
    <w:rsid w:val="008B5686"/>
    <w:rsid w:val="008C4684"/>
    <w:rsid w:val="008C755C"/>
    <w:rsid w:val="008E1E21"/>
    <w:rsid w:val="008E67A6"/>
    <w:rsid w:val="008F2ED1"/>
    <w:rsid w:val="008F7300"/>
    <w:rsid w:val="0092330C"/>
    <w:rsid w:val="009379AA"/>
    <w:rsid w:val="00942C4E"/>
    <w:rsid w:val="0095267C"/>
    <w:rsid w:val="009570E1"/>
    <w:rsid w:val="00964A54"/>
    <w:rsid w:val="00971557"/>
    <w:rsid w:val="00991D4B"/>
    <w:rsid w:val="009A3A69"/>
    <w:rsid w:val="009A5BE4"/>
    <w:rsid w:val="009B16CA"/>
    <w:rsid w:val="009C0DCB"/>
    <w:rsid w:val="009E0D24"/>
    <w:rsid w:val="009E4164"/>
    <w:rsid w:val="009F3F1F"/>
    <w:rsid w:val="009F745D"/>
    <w:rsid w:val="00A15A70"/>
    <w:rsid w:val="00A324D8"/>
    <w:rsid w:val="00A50E7C"/>
    <w:rsid w:val="00A608D8"/>
    <w:rsid w:val="00A60FB0"/>
    <w:rsid w:val="00AA3EAC"/>
    <w:rsid w:val="00AB4F64"/>
    <w:rsid w:val="00AD1738"/>
    <w:rsid w:val="00AE7EDF"/>
    <w:rsid w:val="00AF12F8"/>
    <w:rsid w:val="00AF25BF"/>
    <w:rsid w:val="00B05CC7"/>
    <w:rsid w:val="00B05DE6"/>
    <w:rsid w:val="00B10C7B"/>
    <w:rsid w:val="00B17888"/>
    <w:rsid w:val="00B24C10"/>
    <w:rsid w:val="00B37924"/>
    <w:rsid w:val="00B541EE"/>
    <w:rsid w:val="00B65DB3"/>
    <w:rsid w:val="00B80A81"/>
    <w:rsid w:val="00B82A87"/>
    <w:rsid w:val="00B923CC"/>
    <w:rsid w:val="00BB644D"/>
    <w:rsid w:val="00BC0C4A"/>
    <w:rsid w:val="00BD1F88"/>
    <w:rsid w:val="00BD4C68"/>
    <w:rsid w:val="00BD7D7D"/>
    <w:rsid w:val="00C14126"/>
    <w:rsid w:val="00C34ECA"/>
    <w:rsid w:val="00C35ABA"/>
    <w:rsid w:val="00C41E75"/>
    <w:rsid w:val="00C803BB"/>
    <w:rsid w:val="00C8695D"/>
    <w:rsid w:val="00CE151E"/>
    <w:rsid w:val="00D031C0"/>
    <w:rsid w:val="00D03474"/>
    <w:rsid w:val="00D24502"/>
    <w:rsid w:val="00D33F6A"/>
    <w:rsid w:val="00D76204"/>
    <w:rsid w:val="00D81B74"/>
    <w:rsid w:val="00D8273A"/>
    <w:rsid w:val="00D92762"/>
    <w:rsid w:val="00DA200F"/>
    <w:rsid w:val="00DA4AF3"/>
    <w:rsid w:val="00DC3E33"/>
    <w:rsid w:val="00DD1EBC"/>
    <w:rsid w:val="00DD7D21"/>
    <w:rsid w:val="00E05EDA"/>
    <w:rsid w:val="00E12779"/>
    <w:rsid w:val="00E1750E"/>
    <w:rsid w:val="00E2483F"/>
    <w:rsid w:val="00E35148"/>
    <w:rsid w:val="00E421B0"/>
    <w:rsid w:val="00E74DA1"/>
    <w:rsid w:val="00E757A2"/>
    <w:rsid w:val="00E8293A"/>
    <w:rsid w:val="00E86A93"/>
    <w:rsid w:val="00E94BBF"/>
    <w:rsid w:val="00E96622"/>
    <w:rsid w:val="00EF7216"/>
    <w:rsid w:val="00F12F11"/>
    <w:rsid w:val="00F1702C"/>
    <w:rsid w:val="00F36A79"/>
    <w:rsid w:val="00F4365A"/>
    <w:rsid w:val="00F53D00"/>
    <w:rsid w:val="00F56647"/>
    <w:rsid w:val="00F73B47"/>
    <w:rsid w:val="00F743DF"/>
    <w:rsid w:val="00F74D75"/>
    <w:rsid w:val="00F964EA"/>
    <w:rsid w:val="00FA00C6"/>
    <w:rsid w:val="00FC5282"/>
    <w:rsid w:val="00FD09EE"/>
    <w:rsid w:val="00FD5774"/>
    <w:rsid w:val="7BA1B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2A282"/>
  <w15:docId w15:val="{76E3C604-D309-4CDC-BCE1-5F9666E5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6C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57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7A2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757A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7A2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57A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455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4A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4AF3"/>
  </w:style>
  <w:style w:type="paragraph" w:styleId="Footer">
    <w:name w:val="footer"/>
    <w:basedOn w:val="Normal"/>
    <w:link w:val="FooterChar"/>
    <w:uiPriority w:val="99"/>
    <w:unhideWhenUsed/>
    <w:rsid w:val="00DA4A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4AF3"/>
  </w:style>
  <w:style w:type="paragraph" w:styleId="ColorfulList-Accent11" w:customStyle="1">
    <w:name w:val="Colorful List - Accent 11"/>
    <w:basedOn w:val="Normal"/>
    <w:rsid w:val="00851D8C"/>
    <w:pPr>
      <w:ind w:left="720"/>
      <w:contextualSpacing/>
    </w:pPr>
    <w:rPr>
      <w:rFonts w:ascii="Calibri" w:hAnsi="Calibri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F53D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oi.org/10.2337/dc17-0558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diabetes.org.uk/The4T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48e9f4-b459-45dc-a6e5-939eacbe108b" xsi:nil="true"/>
    <_ip_UnifiedCompliancePolicyProperties xmlns="http://schemas.microsoft.com/sharepoint/v3" xsi:nil="true"/>
    <lcf76f155ced4ddcb4097134ff3c332f xmlns="4e2748d0-a547-408e-bcfd-2445dfe48f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DC8DB64581E4CA1D9D343E4020557" ma:contentTypeVersion="17" ma:contentTypeDescription="Create a new document." ma:contentTypeScope="" ma:versionID="9eda408bd028176aa642807ddd4cc6de">
  <xsd:schema xmlns:xsd="http://www.w3.org/2001/XMLSchema" xmlns:xs="http://www.w3.org/2001/XMLSchema" xmlns:p="http://schemas.microsoft.com/office/2006/metadata/properties" xmlns:ns1="http://schemas.microsoft.com/sharepoint/v3" xmlns:ns2="4e2748d0-a547-408e-bcfd-2445dfe48f0b" xmlns:ns3="c148e9f4-b459-45dc-a6e5-939eacbe108b" targetNamespace="http://schemas.microsoft.com/office/2006/metadata/properties" ma:root="true" ma:fieldsID="3c47663abdda7a03e422a5b77a667503" ns1:_="" ns2:_="" ns3:_="">
    <xsd:import namespace="http://schemas.microsoft.com/sharepoint/v3"/>
    <xsd:import namespace="4e2748d0-a547-408e-bcfd-2445dfe48f0b"/>
    <xsd:import namespace="c148e9f4-b459-45dc-a6e5-939eacbe108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48d0-a547-408e-bcfd-2445dfe48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e9f4-b459-45dc-a6e5-939eacbe108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24c9886-97ec-4d2b-a00f-328403973802}" ma:internalName="TaxCatchAll" ma:showField="CatchAllData" ma:web="c148e9f4-b459-45dc-a6e5-939eacbe1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8D227-86CE-42FD-B3B2-F716F7B1F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30E5E-1DEA-4F89-8CCC-ABDF39A23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48e9f4-b459-45dc-a6e5-939eacbe108b"/>
    <ds:schemaRef ds:uri="4e2748d0-a547-408e-bcfd-2445dfe48f0b"/>
  </ds:schemaRefs>
</ds:datastoreItem>
</file>

<file path=customXml/itemProps3.xml><?xml version="1.0" encoding="utf-8"?>
<ds:datastoreItem xmlns:ds="http://schemas.openxmlformats.org/officeDocument/2006/customXml" ds:itemID="{44C288EA-4E2B-4C33-B39A-48A2E552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2748d0-a547-408e-bcfd-2445dfe48f0b"/>
    <ds:schemaRef ds:uri="c148e9f4-b459-45dc-a6e5-939eacbe1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98E63-B303-4F26-AA6C-C06220E2C3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&amp; North Hertfordshire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 satisfied Microsoft Office User</dc:creator>
  <lastModifiedBy>JAIN, Gunjan (EAST AND NORTH HERTFORDSHIRE TEACHING NHS TRUST)</lastModifiedBy>
  <revision>3</revision>
  <lastPrinted>2026-02-15T23:19:00.0000000Z</lastPrinted>
  <dcterms:created xsi:type="dcterms:W3CDTF">2026-04-28T16:11:00.0000000Z</dcterms:created>
  <dcterms:modified xsi:type="dcterms:W3CDTF">2026-04-28T18:08:08.3634042Z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0x0101007F9DC8DB64581E4CA1D9D343E4020557</vt:lpwstr>
  </property>
  <property fmtid="{D5CDD505-2E9C-101B-9397-08002B2CF9AE}" pid="3" name="Order">
    <vt:r8>14500800</vt:r8>
  </property>
  <property fmtid="{D5CDD505-2E9C-101B-9397-08002B2CF9AE}" pid="4" name="MediaServiceImageTags">
    <vt:lpwstr/>
  </property>
</Properties>
</file>